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9A" w:rsidRPr="00D26C9C" w:rsidRDefault="00D633FB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Отчет комплаенс-офицера </w:t>
      </w:r>
      <w:r w:rsidR="00B1500A"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42B68" w:rsidRPr="00D26C9C" w:rsidRDefault="00B1500A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D83357" w:rsidRPr="00D26C9C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D26C9C">
        <w:rPr>
          <w:rFonts w:ascii="Times New Roman" w:hAnsi="Times New Roman" w:cs="Times New Roman"/>
          <w:b/>
          <w:bCs/>
          <w:sz w:val="27"/>
          <w:szCs w:val="27"/>
        </w:rPr>
        <w:t>П на ПХВ «</w:t>
      </w:r>
      <w:r w:rsidR="00A42B68"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Городской родильный дом № 1» </w:t>
      </w:r>
    </w:p>
    <w:p w:rsidR="00A42B68" w:rsidRPr="00D26C9C" w:rsidRDefault="00A42B68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Управления общественного здравоохранения города Алматы</w:t>
      </w:r>
    </w:p>
    <w:p w:rsidR="00D633FB" w:rsidRPr="00D26C9C" w:rsidRDefault="0026098A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за </w:t>
      </w:r>
      <w:r w:rsidR="00D633FB" w:rsidRPr="00D26C9C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Pr="00D26C9C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633FB"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  <w:r w:rsidR="00A42B68"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D633FB" w:rsidRPr="00D26C9C" w:rsidRDefault="00D633FB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33FB" w:rsidRPr="00D26C9C" w:rsidRDefault="00D633FB" w:rsidP="00D26C9C">
      <w:pPr>
        <w:spacing w:after="0" w:line="221" w:lineRule="auto"/>
        <w:jc w:val="center"/>
        <w:rPr>
          <w:rFonts w:ascii="Times New Roman" w:hAnsi="Times New Roman" w:cs="Times New Roman"/>
          <w:spacing w:val="-6"/>
          <w:sz w:val="27"/>
          <w:szCs w:val="27"/>
        </w:rPr>
      </w:pPr>
      <w:r w:rsidRPr="00D26C9C">
        <w:rPr>
          <w:rFonts w:ascii="Times New Roman" w:hAnsi="Times New Roman" w:cs="Times New Roman"/>
          <w:spacing w:val="-6"/>
          <w:sz w:val="27"/>
          <w:szCs w:val="27"/>
        </w:rPr>
        <w:t xml:space="preserve">За отчетный период </w:t>
      </w:r>
      <w:proofErr w:type="spellStart"/>
      <w:r w:rsidRPr="00D26C9C">
        <w:rPr>
          <w:rFonts w:ascii="Times New Roman" w:hAnsi="Times New Roman" w:cs="Times New Roman"/>
          <w:spacing w:val="-6"/>
          <w:sz w:val="27"/>
          <w:szCs w:val="27"/>
        </w:rPr>
        <w:t>комплаенс-офицером</w:t>
      </w:r>
      <w:proofErr w:type="spellEnd"/>
      <w:r w:rsidRPr="00D26C9C">
        <w:rPr>
          <w:rFonts w:ascii="Times New Roman" w:hAnsi="Times New Roman" w:cs="Times New Roman"/>
          <w:spacing w:val="-6"/>
          <w:sz w:val="27"/>
          <w:szCs w:val="27"/>
        </w:rPr>
        <w:t xml:space="preserve"> была проведена следующая работа.</w:t>
      </w:r>
    </w:p>
    <w:p w:rsidR="0026098A" w:rsidRPr="00D26C9C" w:rsidRDefault="0026098A" w:rsidP="00D26C9C">
      <w:pPr>
        <w:pStyle w:val="a3"/>
        <w:numPr>
          <w:ilvl w:val="0"/>
          <w:numId w:val="3"/>
        </w:numPr>
        <w:spacing w:line="221" w:lineRule="auto"/>
        <w:ind w:left="115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По вопросу оценки правоприменительной практики в сфере противодействия коррупции</w:t>
      </w:r>
    </w:p>
    <w:p w:rsidR="00167D24" w:rsidRPr="00D26C9C" w:rsidRDefault="00167D24" w:rsidP="00D26C9C">
      <w:pPr>
        <w:spacing w:after="0" w:line="221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Организация работы по проведению тематического антикоррупционного мониторинга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На основании приказа директора, был проведен внутренний анализ коррупционных рисков: 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26C9C">
        <w:rPr>
          <w:rFonts w:ascii="Times New Roman" w:hAnsi="Times New Roman" w:cs="Times New Roman"/>
          <w:spacing w:val="-6"/>
          <w:sz w:val="27"/>
          <w:szCs w:val="27"/>
        </w:rPr>
        <w:t xml:space="preserve">- по вопросу осуществления государственных закупок товаров, работ, услуг; 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- по вопросу деятельности юридической службы. 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7D24" w:rsidRPr="00D26C9C" w:rsidRDefault="00167D24" w:rsidP="00D26C9C">
      <w:pPr>
        <w:spacing w:after="0" w:line="221" w:lineRule="auto"/>
        <w:ind w:firstLine="851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По вопросу осуществления государственных закупок товаров, работ, услуг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Закуп товаров, работ услуг осуществляется Предприятием в соответствии с Законом Республики Казахстан «О государственных закупках».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Организацию, проведение и координацию процедур закупок товаров, работ и услуг Предприятия осуществляет соответствующее структурное подразделение - отдел государственных закупок. 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В целом, проведенный анализ осуществления государственных закупок товаров, работ, услуг показал, отсутствие коррупционных рисков в связи с тем, что государственные закупки регулируются нормативно-правовыми актами Республики Казахстан, а также в связи с тем, что государственные закупки проводятся посредством веб-портала государственных закупок. Исключительно электронный формат заключения договоров о государственных закупках позволяет формировать также на веб-портале государственных закупках полную и достоверную информацию по закупаемым товарам, работам, услугам, а также определять их средние закупочные цены. 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Электронный формат осуществления государственных закупок, в том числе исполнения заключенных договоров позволило минимизировать коррупционные риски.</w:t>
      </w:r>
    </w:p>
    <w:p w:rsidR="006E1251" w:rsidRPr="00D26C9C" w:rsidRDefault="006E1251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Однако, ввиду отсутствия внутреннего документа регулирующий порядок взаимодействия между структурными подразделениями был выявлен коррупционный риск, выразившийся в виде возможности сговора между Предприятием и Поставщиком в части не своевременного предоставления решения суда о признании потенциального поставщика или поставщика недобросовестным участником государственных закупок и сведения о таком потенциальном поставщике или поставщике в уполномоченный орган. </w:t>
      </w:r>
    </w:p>
    <w:p w:rsidR="00F32396" w:rsidRPr="00D26C9C" w:rsidRDefault="00F32396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proofErr w:type="spellStart"/>
      <w:r w:rsidRPr="00D26C9C">
        <w:rPr>
          <w:rFonts w:ascii="Times New Roman" w:hAnsi="Times New Roman" w:cs="Times New Roman"/>
          <w:i/>
          <w:iCs/>
          <w:sz w:val="27"/>
          <w:szCs w:val="27"/>
        </w:rPr>
        <w:t>Справочно</w:t>
      </w:r>
      <w:proofErr w:type="spellEnd"/>
      <w:r w:rsidRPr="00D26C9C">
        <w:rPr>
          <w:rFonts w:ascii="Times New Roman" w:hAnsi="Times New Roman" w:cs="Times New Roman"/>
          <w:i/>
          <w:iCs/>
          <w:sz w:val="27"/>
          <w:szCs w:val="27"/>
        </w:rPr>
        <w:t xml:space="preserve">: </w:t>
      </w:r>
    </w:p>
    <w:p w:rsidR="00F32396" w:rsidRPr="00D26C9C" w:rsidRDefault="00F32396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26C9C">
        <w:rPr>
          <w:rFonts w:ascii="Times New Roman" w:hAnsi="Times New Roman" w:cs="Times New Roman"/>
          <w:iCs/>
          <w:sz w:val="27"/>
          <w:szCs w:val="27"/>
        </w:rPr>
        <w:t xml:space="preserve">При неисполнении и/или ненадлежащем исполнении поставщиком обязательств по заключенным договорам о государственных закупках Предприятие обязано обратиться с иском в суд о признании такого поставщика недобросовестным участником государственных закупок. </w:t>
      </w:r>
    </w:p>
    <w:p w:rsidR="00F32396" w:rsidRPr="00D26C9C" w:rsidRDefault="00F32396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26C9C">
        <w:rPr>
          <w:rFonts w:ascii="Times New Roman" w:hAnsi="Times New Roman" w:cs="Times New Roman"/>
          <w:iCs/>
          <w:sz w:val="27"/>
          <w:szCs w:val="27"/>
        </w:rPr>
        <w:t>Правилами формирования и ведения реестров в сфере государственных закупок, утвержденные Приказом Министра финансов Республики Казахстан от 28 декабря 2015 года № 694 предусмотрено, что реестр недобросовестных участников государственных закупок формируется на основании решений судов, вступивших в законную силу, при этом заказчик не позднее 30 (тридцати)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закупок.</w:t>
      </w:r>
    </w:p>
    <w:p w:rsidR="00F32396" w:rsidRPr="00D26C9C" w:rsidRDefault="00F32396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26C9C">
        <w:rPr>
          <w:rFonts w:ascii="Times New Roman" w:hAnsi="Times New Roman" w:cs="Times New Roman"/>
          <w:iCs/>
          <w:sz w:val="27"/>
          <w:szCs w:val="27"/>
        </w:rPr>
        <w:lastRenderedPageBreak/>
        <w:t>Заказчик в течение трех рабочих дней после получения посредством веб-портала вступившего в законную силу решения суда о признании потенциального поставщика или поставщика недобросовестным участником государственных закупок, представляют уполномоченному органу электронную копию решения суда, а также сведения о таком потенциальном поставщике или поставщике в электронном виде по утвержденной форме, уполномоченный орган в течение семи рабочих дней со дня представления заказчиком посредством веб-портала сведений о недобросовестном участнике государственных закупок рассматривает их и включает такие сведения в реестр недобросовестных участников государственных закупок.</w:t>
      </w:r>
    </w:p>
    <w:p w:rsidR="006E1251" w:rsidRPr="00D26C9C" w:rsidRDefault="00F32396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D26C9C">
        <w:rPr>
          <w:rFonts w:ascii="Times New Roman" w:hAnsi="Times New Roman" w:cs="Times New Roman"/>
          <w:iCs/>
          <w:sz w:val="27"/>
          <w:szCs w:val="27"/>
        </w:rPr>
        <w:t>В соответствии с Законом Республики Казахстан «О государственных закупках» поставщики, включенные в реестр недобросовестных участников государственных закупок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закупок, а потенциальные поставщики, включенные в реестр недобросовестных участников государственных закупок,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167D24" w:rsidRPr="00D26C9C" w:rsidRDefault="00167D24" w:rsidP="00D26C9C">
      <w:pPr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67D24" w:rsidRPr="00D26C9C" w:rsidRDefault="00167D24" w:rsidP="00D26C9C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>По вопросу деятельности юридической службы</w:t>
      </w:r>
    </w:p>
    <w:p w:rsidR="00B1500A" w:rsidRPr="00D26C9C" w:rsidRDefault="00F32396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На момент проведения внутреннего анализа коррупционных рисков юрисконсульт предприятия является </w:t>
      </w:r>
      <w:proofErr w:type="spellStart"/>
      <w:r w:rsidR="00D26C9C" w:rsidRPr="00D26C9C">
        <w:rPr>
          <w:rFonts w:ascii="Times New Roman" w:hAnsi="Times New Roman" w:cs="Times New Roman"/>
          <w:sz w:val="27"/>
          <w:szCs w:val="27"/>
        </w:rPr>
        <w:t>Арестова</w:t>
      </w:r>
      <w:proofErr w:type="spellEnd"/>
      <w:r w:rsidR="00D26C9C" w:rsidRPr="00D26C9C">
        <w:rPr>
          <w:rFonts w:ascii="Times New Roman" w:hAnsi="Times New Roman" w:cs="Times New Roman"/>
          <w:sz w:val="27"/>
          <w:szCs w:val="27"/>
        </w:rPr>
        <w:t xml:space="preserve"> И.В.</w:t>
      </w:r>
    </w:p>
    <w:p w:rsidR="00F32396" w:rsidRPr="00D26C9C" w:rsidRDefault="00F32396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Трудовая деятельность юриста урегулирована условиями трудового договора, положением о юридической службе, должностной инструкцией.</w:t>
      </w:r>
    </w:p>
    <w:p w:rsidR="00F32396" w:rsidRPr="00D26C9C" w:rsidRDefault="00F32396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pacing w:val="-4"/>
          <w:sz w:val="27"/>
          <w:szCs w:val="27"/>
        </w:rPr>
        <w:t>Основной задачей юридической службы является обеспечение правильного применения законодательства Республики Казахстан и защита законных прав и интересов Предприятия, анализ состояния исковой работы, судебной практики по спорам с участием Предприятия с целью выявления основных причин и условий, повлекших соответствующее судебное разбирательство и внесение предложения</w:t>
      </w:r>
      <w:r w:rsidRPr="00D26C9C">
        <w:rPr>
          <w:rFonts w:ascii="Times New Roman" w:hAnsi="Times New Roman" w:cs="Times New Roman"/>
          <w:sz w:val="27"/>
          <w:szCs w:val="27"/>
        </w:rPr>
        <w:t xml:space="preserve"> по их устранению, оказание методической и консультационной помощи структурным подразделениям по правовым вопросам, юридическое сопровождение деятельности Предприятия в целом. </w:t>
      </w:r>
    </w:p>
    <w:p w:rsidR="00F32396" w:rsidRPr="00D26C9C" w:rsidRDefault="00F32396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Вместе с тем, в ходе проведения внутреннего анализа коррупционных рисков установлено, что при составлении исковых заявлений по признанию поставщиков недобросовестными участниками государственных закупок, не описываются негативные последствия неисполнения и/или ненадлежащего исполнения поставщиком принятых обязательств по заключенным договорам о государственных закупках. При этом, в соответствии с Нормативное постановление Верховного Суда Республики Казахстан от 21 апреля 2022 года № 4 «О применении судами законодательства о государственных закупках»,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судами принимаются во внимание вина поставщика как основание гражданско-правовой ответственности и наступившие негативные последствия для заказчика.</w:t>
      </w:r>
    </w:p>
    <w:p w:rsidR="002849A0" w:rsidRPr="00D26C9C" w:rsidRDefault="00F32396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Таким образом, по результатам проведенного внутреннего анализа коррупционных рисков было выявлено 2 коррупционных риска, </w:t>
      </w:r>
      <w:r w:rsidR="00273F35" w:rsidRPr="00D26C9C">
        <w:rPr>
          <w:rFonts w:ascii="Times New Roman" w:hAnsi="Times New Roman" w:cs="Times New Roman"/>
          <w:sz w:val="27"/>
          <w:szCs w:val="27"/>
        </w:rPr>
        <w:t xml:space="preserve">в связи с чем были даны рекомендации и определены ответственные лица по их устранению путем разработки и утверждения </w:t>
      </w:r>
      <w:r w:rsidR="002849A0" w:rsidRPr="00D26C9C">
        <w:rPr>
          <w:rFonts w:ascii="Times New Roman" w:hAnsi="Times New Roman" w:cs="Times New Roman"/>
          <w:sz w:val="27"/>
          <w:szCs w:val="27"/>
        </w:rPr>
        <w:t>внутреннего алгоритма взаимодействия специалистов ответственных за осуществление государственных закупок и юриста, а также обеспечения юристом Предприятия отражения в исковых заявлениях наступивших негативных последствий в результате ненадлежащего исполнения и/или не исполнения принятых обязательств по заключенному договору о государственных закупках.</w:t>
      </w:r>
    </w:p>
    <w:p w:rsidR="002849A0" w:rsidRPr="00D26C9C" w:rsidRDefault="002849A0" w:rsidP="00D26C9C">
      <w:pPr>
        <w:pStyle w:val="a3"/>
        <w:widowControl w:val="0"/>
        <w:tabs>
          <w:tab w:val="left" w:pos="993"/>
        </w:tabs>
        <w:spacing w:line="221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D26C9C" w:rsidRDefault="000B760B" w:rsidP="00D26C9C">
      <w:pPr>
        <w:widowControl w:val="0"/>
        <w:tabs>
          <w:tab w:val="left" w:pos="567"/>
          <w:tab w:val="left" w:pos="993"/>
        </w:tabs>
        <w:spacing w:line="221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kk-KZ"/>
        </w:rPr>
      </w:pPr>
      <w:r w:rsidRPr="00D26C9C">
        <w:rPr>
          <w:rFonts w:ascii="Times New Roman" w:eastAsia="SimSun" w:hAnsi="Times New Roman" w:cs="Times New Roman"/>
          <w:b/>
          <w:bCs/>
          <w:sz w:val="27"/>
          <w:szCs w:val="27"/>
        </w:rPr>
        <w:t>2.</w:t>
      </w:r>
      <w:r w:rsidRPr="00D26C9C">
        <w:rPr>
          <w:rFonts w:ascii="Times New Roman" w:eastAsia="SimSun" w:hAnsi="Times New Roman" w:cs="Times New Roman"/>
          <w:b/>
          <w:bCs/>
          <w:sz w:val="27"/>
          <w:szCs w:val="27"/>
        </w:rPr>
        <w:tab/>
        <w:t>Антикоррупционная пропаганда по формированию нулевой терпимости к проявлениям коррупции, в том числе «бытовой» коррупции</w:t>
      </w:r>
    </w:p>
    <w:p w:rsidR="000B760B" w:rsidRPr="00D26C9C" w:rsidRDefault="000B760B" w:rsidP="00D26C9C">
      <w:pPr>
        <w:widowControl w:val="0"/>
        <w:tabs>
          <w:tab w:val="left" w:pos="567"/>
          <w:tab w:val="left" w:pos="993"/>
        </w:tabs>
        <w:spacing w:after="0" w:line="221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  <w:lang w:val="kk-KZ"/>
        </w:rPr>
        <w:t>Своевременное и качественное рассмотрение обращений физических и юридических лиц по вопросам противодействия коррупции</w:t>
      </w:r>
    </w:p>
    <w:p w:rsidR="000B760B" w:rsidRPr="00D26C9C" w:rsidRDefault="000B760B" w:rsidP="00D26C9C">
      <w:pPr>
        <w:widowControl w:val="0"/>
        <w:tabs>
          <w:tab w:val="left" w:pos="567"/>
          <w:tab w:val="left" w:pos="993"/>
        </w:tabs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 xml:space="preserve">В течении 2024 года обращений физических и юридических лиц по вопросам противодействия коррупции не поступало. </w:t>
      </w:r>
    </w:p>
    <w:p w:rsidR="000B760B" w:rsidRPr="00D26C9C" w:rsidRDefault="000B760B" w:rsidP="00D26C9C">
      <w:pPr>
        <w:widowControl w:val="0"/>
        <w:tabs>
          <w:tab w:val="left" w:pos="567"/>
          <w:tab w:val="left" w:pos="993"/>
        </w:tabs>
        <w:spacing w:after="0" w:line="221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  <w:lang w:val="kk-KZ"/>
        </w:rPr>
        <w:t>Мониторинг обращений населения, публикаций в СМИ, социальных сетях сигналов на коррупционные правонарушения со стороны медицинских работников</w:t>
      </w:r>
    </w:p>
    <w:p w:rsidR="000B760B" w:rsidRPr="00D26C9C" w:rsidRDefault="000B760B" w:rsidP="00D26C9C">
      <w:pPr>
        <w:widowControl w:val="0"/>
        <w:tabs>
          <w:tab w:val="left" w:pos="567"/>
          <w:tab w:val="left" w:pos="993"/>
        </w:tabs>
        <w:spacing w:after="0" w:line="221" w:lineRule="auto"/>
        <w:ind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 xml:space="preserve">В ходе мониторинга обращений населения, публикаций в СМИЮ социальных сетях сигналов на коррупционные правонарушения со стороны работников Предприятия не выявлены. </w:t>
      </w:r>
    </w:p>
    <w:p w:rsidR="008B4C7C" w:rsidRPr="00D26C9C" w:rsidRDefault="008B4C7C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="00B1500A" w:rsidRPr="00D26C9C">
        <w:rPr>
          <w:rFonts w:ascii="Times New Roman" w:hAnsi="Times New Roman" w:cs="Times New Roman"/>
          <w:sz w:val="27"/>
          <w:szCs w:val="27"/>
        </w:rPr>
        <w:t>представитель</w:t>
      </w:r>
      <w:r w:rsidRPr="00D26C9C">
        <w:rPr>
          <w:rFonts w:ascii="Times New Roman" w:hAnsi="Times New Roman" w:cs="Times New Roman"/>
          <w:sz w:val="27"/>
          <w:szCs w:val="27"/>
        </w:rPr>
        <w:t xml:space="preserve"> Предприятия приняли участие в заседании круглого стола на тему: «Борьба с коррупцией – главная проблема в обществе». </w:t>
      </w:r>
    </w:p>
    <w:p w:rsidR="008B4C7C" w:rsidRPr="00D26C9C" w:rsidRDefault="008B4C7C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Заседание круглого стола посвящено одной из наиболее острых тем, которые существуют в нашем обществе, в нашей стране, – тема противодействия коррупции.</w:t>
      </w:r>
    </w:p>
    <w:p w:rsidR="008B4C7C" w:rsidRPr="00D26C9C" w:rsidRDefault="008B4C7C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>На заседании круглого стола было отмечено, что основной задачей антикоррупционной комплаенс службы является превенция коррупционных правонарушений. Разъясняя основные пакеты антикоррупционной реформы, также отмечено о персональной ответственности руководителей за коррупцию подчиненных, дифференцированную систему поощрения граждан за сообщения о фактах коррупции, о полном запрете на дарение подарков, о всеобщем декларировании граждан РК, об ответственности, предусмотренной административным и уголовным кодексами РК.</w:t>
      </w:r>
    </w:p>
    <w:p w:rsidR="00EF1971" w:rsidRPr="00D26C9C" w:rsidRDefault="00EF1971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D26C9C">
        <w:rPr>
          <w:rFonts w:ascii="Times New Roman" w:hAnsi="Times New Roman" w:cs="Times New Roman"/>
          <w:b/>
          <w:spacing w:val="-4"/>
          <w:sz w:val="27"/>
          <w:szCs w:val="27"/>
        </w:rPr>
        <w:t>26 сентября 2024 года</w:t>
      </w:r>
      <w:r w:rsidRPr="00D26C9C">
        <w:rPr>
          <w:rFonts w:ascii="Times New Roman" w:hAnsi="Times New Roman" w:cs="Times New Roman"/>
          <w:spacing w:val="-4"/>
          <w:sz w:val="27"/>
          <w:szCs w:val="27"/>
        </w:rPr>
        <w:t xml:space="preserve"> было принято участие в семинар-конференции на тему: «Правовая культура как основное условие минимизации коррупции в обществе».</w:t>
      </w:r>
    </w:p>
    <w:p w:rsidR="00EF1971" w:rsidRPr="00D26C9C" w:rsidRDefault="00EF1971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26C9C">
        <w:rPr>
          <w:rFonts w:ascii="Times New Roman" w:hAnsi="Times New Roman" w:cs="Times New Roman"/>
          <w:sz w:val="27"/>
          <w:szCs w:val="27"/>
        </w:rPr>
        <w:t xml:space="preserve">Целью данного мероприятия было обсуждение практических вопросов в области права, посвященных формированию </w:t>
      </w:r>
      <w:r w:rsidR="002040AF" w:rsidRPr="00D26C9C">
        <w:rPr>
          <w:rFonts w:ascii="Times New Roman" w:hAnsi="Times New Roman" w:cs="Times New Roman"/>
          <w:sz w:val="27"/>
          <w:szCs w:val="27"/>
        </w:rPr>
        <w:t xml:space="preserve">механизмов по противодействию коррупции посредством привития населению правомерной модели поведения, роста идентификации права в общественном сознании и правовой грамотности каждого гражданина. </w:t>
      </w:r>
    </w:p>
    <w:p w:rsidR="00AC2BA2" w:rsidRPr="00D26C9C" w:rsidRDefault="002040AF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</w:rPr>
        <w:t>Мероприятие проводилось при поддержке Управления общественного развития города Алматы в рамках реализации проекта «</w:t>
      </w:r>
      <w:proofErr w:type="spellStart"/>
      <w:r w:rsidRPr="00D26C9C">
        <w:rPr>
          <w:rFonts w:ascii="Times New Roman" w:hAnsi="Times New Roman" w:cs="Times New Roman"/>
          <w:sz w:val="27"/>
          <w:szCs w:val="27"/>
        </w:rPr>
        <w:t>Алматы-адалд</w:t>
      </w:r>
      <w:proofErr w:type="spellEnd"/>
      <w:r w:rsidRPr="00D26C9C">
        <w:rPr>
          <w:rFonts w:ascii="Times New Roman" w:hAnsi="Times New Roman" w:cs="Times New Roman"/>
          <w:sz w:val="27"/>
          <w:szCs w:val="27"/>
          <w:lang w:val="kk-KZ"/>
        </w:rPr>
        <w:t>ық алаңы</w:t>
      </w:r>
      <w:r w:rsidRPr="00D26C9C">
        <w:rPr>
          <w:rFonts w:ascii="Times New Roman" w:hAnsi="Times New Roman" w:cs="Times New Roman"/>
          <w:sz w:val="27"/>
          <w:szCs w:val="27"/>
        </w:rPr>
        <w:t>» Общественный фонд «</w:t>
      </w:r>
      <w:proofErr w:type="spellStart"/>
      <w:r w:rsidRPr="00D26C9C">
        <w:rPr>
          <w:rFonts w:ascii="Times New Roman" w:hAnsi="Times New Roman" w:cs="Times New Roman"/>
          <w:sz w:val="27"/>
          <w:szCs w:val="27"/>
        </w:rPr>
        <w:t>Парасатты</w:t>
      </w:r>
      <w:proofErr w:type="spellEnd"/>
      <w:r w:rsidRPr="00D26C9C">
        <w:rPr>
          <w:rFonts w:ascii="Times New Roman" w:hAnsi="Times New Roman" w:cs="Times New Roman"/>
          <w:sz w:val="27"/>
          <w:szCs w:val="27"/>
        </w:rPr>
        <w:t xml:space="preserve"> </w:t>
      </w:r>
      <w:r w:rsidRPr="00D26C9C">
        <w:rPr>
          <w:rFonts w:ascii="Times New Roman" w:hAnsi="Times New Roman" w:cs="Times New Roman"/>
          <w:sz w:val="27"/>
          <w:szCs w:val="27"/>
          <w:lang w:val="kk-KZ"/>
        </w:rPr>
        <w:t>ұрпақ үшін</w:t>
      </w:r>
      <w:r w:rsidRPr="00D26C9C">
        <w:rPr>
          <w:rFonts w:ascii="Times New Roman" w:hAnsi="Times New Roman" w:cs="Times New Roman"/>
          <w:sz w:val="27"/>
          <w:szCs w:val="27"/>
        </w:rPr>
        <w:t>»</w:t>
      </w:r>
      <w:r w:rsidRPr="00D26C9C">
        <w:rPr>
          <w:rFonts w:ascii="Times New Roman" w:hAnsi="Times New Roman" w:cs="Times New Roman"/>
          <w:sz w:val="27"/>
          <w:szCs w:val="27"/>
          <w:lang w:val="kk-KZ"/>
        </w:rPr>
        <w:t xml:space="preserve"> совместно с кафедрой международного права АО «Казахского университета международных отношений и мировых языков имени Абылай хана».</w:t>
      </w:r>
    </w:p>
    <w:p w:rsidR="00AC2BA2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  <w:lang w:val="kk-KZ"/>
        </w:rPr>
        <w:t>20 декабря 2024 года</w:t>
      </w:r>
      <w:r w:rsidRPr="00D26C9C">
        <w:rPr>
          <w:rFonts w:ascii="Times New Roman" w:hAnsi="Times New Roman" w:cs="Times New Roman"/>
          <w:sz w:val="27"/>
          <w:szCs w:val="27"/>
          <w:lang w:val="kk-KZ"/>
        </w:rPr>
        <w:t xml:space="preserve"> было принято участие Международной конференции «Роль гражданского общества в формировании нулевой коррупции», проводимое в формате офлайн/онлайн, где были рассмотрены такие вопросы как:</w:t>
      </w:r>
    </w:p>
    <w:p w:rsidR="00AC2BA2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>- Про</w:t>
      </w:r>
      <w:bookmarkStart w:id="0" w:name="_GoBack"/>
      <w:bookmarkEnd w:id="0"/>
      <w:r w:rsidRPr="00D26C9C">
        <w:rPr>
          <w:rFonts w:ascii="Times New Roman" w:hAnsi="Times New Roman" w:cs="Times New Roman"/>
          <w:sz w:val="27"/>
          <w:szCs w:val="27"/>
          <w:lang w:val="kk-KZ"/>
        </w:rPr>
        <w:t>зрачность и подотчетность</w:t>
      </w:r>
    </w:p>
    <w:p w:rsidR="00AC2BA2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>- Антикоррупционное образование</w:t>
      </w:r>
    </w:p>
    <w:p w:rsidR="00AC2BA2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>- Цифровые технологии и гражданский контроль</w:t>
      </w:r>
    </w:p>
    <w:p w:rsidR="00AC2BA2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>- Роль общественного активизма</w:t>
      </w:r>
    </w:p>
    <w:p w:rsidR="002040AF" w:rsidRPr="00D26C9C" w:rsidRDefault="00AC2BA2" w:rsidP="00D26C9C">
      <w:pPr>
        <w:pStyle w:val="a3"/>
        <w:tabs>
          <w:tab w:val="left" w:pos="1276"/>
        </w:tabs>
        <w:spacing w:line="221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D26C9C">
        <w:rPr>
          <w:rFonts w:ascii="Times New Roman" w:hAnsi="Times New Roman" w:cs="Times New Roman"/>
          <w:sz w:val="27"/>
          <w:szCs w:val="27"/>
          <w:lang w:val="kk-KZ"/>
        </w:rPr>
        <w:t>- Международное сотрудничество</w:t>
      </w:r>
    </w:p>
    <w:p w:rsidR="00A42B68" w:rsidRPr="00D26C9C" w:rsidRDefault="00A42B68" w:rsidP="00D26C9C">
      <w:pPr>
        <w:tabs>
          <w:tab w:val="left" w:pos="812"/>
        </w:tabs>
        <w:spacing w:after="0" w:line="221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B760B" w:rsidRPr="00D26C9C" w:rsidRDefault="006F6F68" w:rsidP="00D26C9C">
      <w:pPr>
        <w:tabs>
          <w:tab w:val="left" w:pos="812"/>
        </w:tabs>
        <w:spacing w:after="0" w:line="221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Комплаенс-офицер </w:t>
      </w:r>
    </w:p>
    <w:p w:rsidR="006F6F68" w:rsidRPr="00D26C9C" w:rsidRDefault="006F6F68" w:rsidP="00D26C9C">
      <w:pPr>
        <w:tabs>
          <w:tab w:val="left" w:pos="812"/>
        </w:tabs>
        <w:spacing w:after="0" w:line="221" w:lineRule="auto"/>
        <w:ind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26C9C">
        <w:rPr>
          <w:rFonts w:ascii="Times New Roman" w:hAnsi="Times New Roman" w:cs="Times New Roman"/>
          <w:b/>
          <w:bCs/>
          <w:sz w:val="27"/>
          <w:szCs w:val="27"/>
        </w:rPr>
        <w:t xml:space="preserve">Пак С.Г. </w:t>
      </w:r>
    </w:p>
    <w:sectPr w:rsidR="006F6F68" w:rsidRPr="00D26C9C" w:rsidSect="00D26C9C">
      <w:pgSz w:w="11906" w:h="16838"/>
      <w:pgMar w:top="425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FF3"/>
    <w:multiLevelType w:val="hybridMultilevel"/>
    <w:tmpl w:val="40D0C360"/>
    <w:lvl w:ilvl="0" w:tplc="7D92D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9C5150"/>
    <w:multiLevelType w:val="hybridMultilevel"/>
    <w:tmpl w:val="5B58CB10"/>
    <w:lvl w:ilvl="0" w:tplc="0FE074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414D0D"/>
    <w:multiLevelType w:val="multilevel"/>
    <w:tmpl w:val="B112B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633FB"/>
    <w:rsid w:val="00065A69"/>
    <w:rsid w:val="000B760B"/>
    <w:rsid w:val="000D4CB1"/>
    <w:rsid w:val="00130B85"/>
    <w:rsid w:val="00132703"/>
    <w:rsid w:val="00167D24"/>
    <w:rsid w:val="001C315E"/>
    <w:rsid w:val="001D0CC0"/>
    <w:rsid w:val="002040AF"/>
    <w:rsid w:val="0026098A"/>
    <w:rsid w:val="00273F35"/>
    <w:rsid w:val="002849A0"/>
    <w:rsid w:val="00377D7F"/>
    <w:rsid w:val="003F18DD"/>
    <w:rsid w:val="0053043A"/>
    <w:rsid w:val="0056223B"/>
    <w:rsid w:val="006E1251"/>
    <w:rsid w:val="006F6F68"/>
    <w:rsid w:val="007C6A2D"/>
    <w:rsid w:val="008173E3"/>
    <w:rsid w:val="00817C22"/>
    <w:rsid w:val="00863D1D"/>
    <w:rsid w:val="008B4C7C"/>
    <w:rsid w:val="009D080C"/>
    <w:rsid w:val="00A42B68"/>
    <w:rsid w:val="00AC2BA2"/>
    <w:rsid w:val="00B1500A"/>
    <w:rsid w:val="00BB1654"/>
    <w:rsid w:val="00C616C1"/>
    <w:rsid w:val="00CC1D29"/>
    <w:rsid w:val="00CC2B9A"/>
    <w:rsid w:val="00D237F0"/>
    <w:rsid w:val="00D26C9C"/>
    <w:rsid w:val="00D633FB"/>
    <w:rsid w:val="00D76EC2"/>
    <w:rsid w:val="00D83357"/>
    <w:rsid w:val="00EF1971"/>
    <w:rsid w:val="00F32396"/>
    <w:rsid w:val="00F6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68"/>
    <w:pPr>
      <w:spacing w:after="0" w:line="312" w:lineRule="auto"/>
      <w:ind w:left="720"/>
      <w:contextualSpacing/>
    </w:pPr>
    <w:rPr>
      <w:rFonts w:ascii="Arial" w:hAnsi="Arial" w:cs="Arial"/>
      <w:sz w:val="28"/>
      <w:szCs w:val="28"/>
    </w:rPr>
  </w:style>
  <w:style w:type="table" w:styleId="a4">
    <w:name w:val="Table Grid"/>
    <w:basedOn w:val="a1"/>
    <w:uiPriority w:val="39"/>
    <w:rsid w:val="0028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2025-04-24T05:13:00Z</cp:lastPrinted>
  <dcterms:created xsi:type="dcterms:W3CDTF">2024-12-23T07:07:00Z</dcterms:created>
  <dcterms:modified xsi:type="dcterms:W3CDTF">2025-04-24T05:14:00Z</dcterms:modified>
</cp:coreProperties>
</file>