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E0F2" w14:textId="77777777" w:rsidR="00D2018B" w:rsidRDefault="00D2018B" w:rsidP="00D2018B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D2018B">
        <w:rPr>
          <w:rFonts w:eastAsia="Times New Roman"/>
          <w:sz w:val="22"/>
          <w:szCs w:val="22"/>
          <w:lang w:eastAsia="ru-RU"/>
        </w:rPr>
        <w:t xml:space="preserve">Алматы қ. ДСБ "№1 </w:t>
      </w:r>
      <w:proofErr w:type="spellStart"/>
      <w:r w:rsidRPr="00D2018B">
        <w:rPr>
          <w:rFonts w:eastAsia="Times New Roman"/>
          <w:sz w:val="22"/>
          <w:szCs w:val="22"/>
          <w:lang w:eastAsia="ru-RU"/>
        </w:rPr>
        <w:t>Қалалық</w:t>
      </w:r>
      <w:proofErr w:type="spellEnd"/>
      <w:r w:rsidRPr="00D2018B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D2018B">
        <w:rPr>
          <w:rFonts w:eastAsia="Times New Roman"/>
          <w:sz w:val="22"/>
          <w:szCs w:val="22"/>
          <w:lang w:eastAsia="ru-RU"/>
        </w:rPr>
        <w:t>перзентхана</w:t>
      </w:r>
      <w:proofErr w:type="spellEnd"/>
      <w:r w:rsidRPr="00D2018B">
        <w:rPr>
          <w:rFonts w:eastAsia="Times New Roman"/>
          <w:sz w:val="22"/>
          <w:szCs w:val="22"/>
          <w:lang w:eastAsia="ru-RU"/>
        </w:rPr>
        <w:t xml:space="preserve"> " ШЖҚ МКК </w:t>
      </w:r>
    </w:p>
    <w:p w14:paraId="15B12D1F" w14:textId="6CE410F1" w:rsidR="00D2018B" w:rsidRPr="00D2018B" w:rsidRDefault="00D2018B" w:rsidP="00D2018B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D2018B">
        <w:rPr>
          <w:rFonts w:eastAsia="Times New Roman"/>
          <w:sz w:val="22"/>
          <w:szCs w:val="22"/>
          <w:lang w:eastAsia="ru-RU"/>
        </w:rPr>
        <w:t xml:space="preserve">2022 </w:t>
      </w:r>
      <w:proofErr w:type="spellStart"/>
      <w:r w:rsidRPr="00D2018B">
        <w:rPr>
          <w:rFonts w:eastAsia="Times New Roman"/>
          <w:sz w:val="22"/>
          <w:szCs w:val="22"/>
          <w:lang w:eastAsia="ru-RU"/>
        </w:rPr>
        <w:t>жылғы</w:t>
      </w:r>
      <w:proofErr w:type="spellEnd"/>
      <w:r w:rsidRPr="00D2018B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D2018B">
        <w:rPr>
          <w:rFonts w:eastAsia="Times New Roman"/>
          <w:sz w:val="22"/>
          <w:szCs w:val="22"/>
          <w:lang w:eastAsia="ru-RU"/>
        </w:rPr>
        <w:t>қараша-желтоқсанға</w:t>
      </w:r>
      <w:proofErr w:type="spellEnd"/>
      <w:r w:rsidRPr="00D2018B">
        <w:rPr>
          <w:rFonts w:eastAsia="Times New Roman"/>
          <w:sz w:val="22"/>
          <w:szCs w:val="22"/>
          <w:lang w:eastAsia="ru-RU"/>
        </w:rPr>
        <w:t xml:space="preserve"> </w:t>
      </w:r>
    </w:p>
    <w:p w14:paraId="491CB1F6" w14:textId="77777777" w:rsidR="00D2018B" w:rsidRPr="00D2018B" w:rsidRDefault="00D2018B" w:rsidP="00D2018B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proofErr w:type="spellStart"/>
      <w:r w:rsidRPr="00D2018B">
        <w:rPr>
          <w:rFonts w:eastAsia="Times New Roman"/>
          <w:sz w:val="22"/>
          <w:szCs w:val="22"/>
          <w:lang w:eastAsia="ru-RU"/>
        </w:rPr>
        <w:t>Сыбайлас</w:t>
      </w:r>
      <w:proofErr w:type="spellEnd"/>
      <w:r w:rsidRPr="00D2018B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D2018B">
        <w:rPr>
          <w:rFonts w:eastAsia="Times New Roman"/>
          <w:sz w:val="22"/>
          <w:szCs w:val="22"/>
          <w:lang w:eastAsia="ru-RU"/>
        </w:rPr>
        <w:t>жемқорлыққа</w:t>
      </w:r>
      <w:proofErr w:type="spellEnd"/>
      <w:r w:rsidRPr="00D2018B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D2018B">
        <w:rPr>
          <w:rFonts w:eastAsia="Times New Roman"/>
          <w:sz w:val="22"/>
          <w:szCs w:val="22"/>
          <w:lang w:eastAsia="ru-RU"/>
        </w:rPr>
        <w:t>қарсы</w:t>
      </w:r>
      <w:proofErr w:type="spellEnd"/>
      <w:r w:rsidRPr="00D2018B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D2018B">
        <w:rPr>
          <w:rFonts w:eastAsia="Times New Roman"/>
          <w:sz w:val="22"/>
          <w:szCs w:val="22"/>
          <w:lang w:eastAsia="ru-RU"/>
        </w:rPr>
        <w:t>іс-шаралар</w:t>
      </w:r>
      <w:proofErr w:type="spellEnd"/>
      <w:r w:rsidRPr="00D2018B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D2018B">
        <w:rPr>
          <w:rFonts w:eastAsia="Times New Roman"/>
          <w:sz w:val="22"/>
          <w:szCs w:val="22"/>
          <w:lang w:eastAsia="ru-RU"/>
        </w:rPr>
        <w:t>жоспары</w:t>
      </w:r>
      <w:proofErr w:type="spellEnd"/>
    </w:p>
    <w:p w14:paraId="62E69EEB" w14:textId="53E86680" w:rsidR="001D5AA9" w:rsidRDefault="001D5AA9" w:rsidP="00E910A7">
      <w:pPr>
        <w:spacing w:after="0" w:line="240" w:lineRule="auto"/>
        <w:jc w:val="center"/>
        <w:rPr>
          <w:rFonts w:eastAsia="Times New Roman"/>
          <w:b w:val="0"/>
          <w:sz w:val="18"/>
          <w:szCs w:val="18"/>
          <w:lang w:eastAsia="ru-RU"/>
        </w:rPr>
      </w:pPr>
      <w:r w:rsidRPr="001D5AA9">
        <w:rPr>
          <w:rFonts w:eastAsia="Times New Roman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374"/>
        <w:gridCol w:w="2035"/>
        <w:gridCol w:w="2067"/>
        <w:gridCol w:w="2064"/>
      </w:tblGrid>
      <w:tr w:rsidR="001D5AA9" w14:paraId="51973473" w14:textId="77777777" w:rsidTr="00346E27">
        <w:tc>
          <w:tcPr>
            <w:tcW w:w="654" w:type="dxa"/>
          </w:tcPr>
          <w:p w14:paraId="446B9063" w14:textId="77777777"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74" w:type="dxa"/>
          </w:tcPr>
          <w:p w14:paraId="6D8EF8D5" w14:textId="67BE2862" w:rsidR="001D5AA9" w:rsidRDefault="00D2018B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>Іс-шаралардың</w:t>
            </w:r>
            <w:proofErr w:type="spellEnd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>мазмұны</w:t>
            </w:r>
            <w:proofErr w:type="spellEnd"/>
          </w:p>
        </w:tc>
        <w:tc>
          <w:tcPr>
            <w:tcW w:w="2035" w:type="dxa"/>
          </w:tcPr>
          <w:p w14:paraId="20ECFF8A" w14:textId="6BB2BAD7" w:rsidR="001D5AA9" w:rsidRDefault="00D2018B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>Орындау</w:t>
            </w:r>
            <w:proofErr w:type="spellEnd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>мерзімі</w:t>
            </w:r>
            <w:proofErr w:type="spellEnd"/>
          </w:p>
        </w:tc>
        <w:tc>
          <w:tcPr>
            <w:tcW w:w="2067" w:type="dxa"/>
          </w:tcPr>
          <w:p w14:paraId="3F1403DC" w14:textId="6A2D85D7" w:rsidR="001D5AA9" w:rsidRDefault="00D2018B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>Аяқтау</w:t>
            </w:r>
            <w:proofErr w:type="spellEnd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>нысаны</w:t>
            </w:r>
            <w:proofErr w:type="spellEnd"/>
          </w:p>
        </w:tc>
        <w:tc>
          <w:tcPr>
            <w:tcW w:w="2064" w:type="dxa"/>
          </w:tcPr>
          <w:p w14:paraId="7DE4E7A2" w14:textId="45C49243" w:rsidR="001D5AA9" w:rsidRDefault="00D2018B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>Орындауға</w:t>
            </w:r>
            <w:proofErr w:type="spellEnd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b w:val="0"/>
                <w:sz w:val="18"/>
                <w:szCs w:val="18"/>
                <w:lang w:eastAsia="ru-RU"/>
              </w:rPr>
              <w:t>жауаптылар</w:t>
            </w:r>
            <w:proofErr w:type="spellEnd"/>
          </w:p>
        </w:tc>
      </w:tr>
      <w:tr w:rsidR="001D5AA9" w14:paraId="3ECCFD5B" w14:textId="77777777" w:rsidTr="00346E27">
        <w:tc>
          <w:tcPr>
            <w:tcW w:w="654" w:type="dxa"/>
          </w:tcPr>
          <w:p w14:paraId="30C410B2" w14:textId="77777777"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4" w:type="dxa"/>
          </w:tcPr>
          <w:p w14:paraId="6CC14C3C" w14:textId="77777777"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5" w:type="dxa"/>
          </w:tcPr>
          <w:p w14:paraId="4E969641" w14:textId="77777777"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7" w:type="dxa"/>
          </w:tcPr>
          <w:p w14:paraId="020F0A38" w14:textId="77777777"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4" w:type="dxa"/>
          </w:tcPr>
          <w:p w14:paraId="1607A837" w14:textId="77777777" w:rsidR="001D5AA9" w:rsidRDefault="001D5AA9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5</w:t>
            </w:r>
          </w:p>
        </w:tc>
      </w:tr>
      <w:tr w:rsidR="001D5AA9" w14:paraId="49FAC559" w14:textId="77777777" w:rsidTr="00346E27">
        <w:tc>
          <w:tcPr>
            <w:tcW w:w="10194" w:type="dxa"/>
            <w:gridSpan w:val="5"/>
          </w:tcPr>
          <w:p w14:paraId="59205F74" w14:textId="4E78B0C4" w:rsidR="001D5AA9" w:rsidRPr="00E910A7" w:rsidRDefault="00D2018B" w:rsidP="00E910A7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Сыбайлас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қарсы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мәдениетті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қалыптастыру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іс-шаралар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( Алматы қ. ҚДБ 2022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жылғы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14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қазандағы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Сыбайлас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қарсы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іс-қимыл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бірлескен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іс-шаралардың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кешенді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жоспарын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іске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асыру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туралы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" № 298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бұйрығының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талаптарын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ескере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отырып</w:t>
            </w:r>
            <w:proofErr w:type="spellEnd"/>
            <w:r w:rsidRPr="00D2018B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5F5A28" w:rsidRPr="00346E27" w14:paraId="3AC66BE3" w14:textId="77777777" w:rsidTr="00346E27">
        <w:tc>
          <w:tcPr>
            <w:tcW w:w="654" w:type="dxa"/>
          </w:tcPr>
          <w:p w14:paraId="3471C9DD" w14:textId="77777777" w:rsidR="005F5A28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4" w:type="dxa"/>
          </w:tcPr>
          <w:p w14:paraId="0C59F7A8" w14:textId="2EB8781C" w:rsidR="005F5A28" w:rsidRPr="00E910A7" w:rsidRDefault="00B8201D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B8201D">
              <w:rPr>
                <w:rFonts w:eastAsia="Times New Roman"/>
                <w:b w:val="0"/>
                <w:sz w:val="18"/>
                <w:szCs w:val="18"/>
                <w:lang w:eastAsia="ru-RU"/>
              </w:rPr>
              <w:t>Оқыту</w:t>
            </w:r>
            <w:proofErr w:type="spellEnd"/>
            <w:r w:rsidRPr="00B8201D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201D">
              <w:rPr>
                <w:rFonts w:eastAsia="Times New Roman"/>
                <w:b w:val="0"/>
                <w:sz w:val="18"/>
                <w:szCs w:val="18"/>
                <w:lang w:eastAsia="ru-RU"/>
              </w:rPr>
              <w:t>іс-шараларын</w:t>
            </w:r>
            <w:proofErr w:type="spellEnd"/>
            <w:r w:rsidRPr="00B8201D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201D">
              <w:rPr>
                <w:rFonts w:eastAsia="Times New Roman"/>
                <w:b w:val="0"/>
                <w:sz w:val="18"/>
                <w:szCs w:val="18"/>
                <w:lang w:eastAsia="ru-RU"/>
              </w:rPr>
              <w:t>өткізу</w:t>
            </w:r>
            <w:proofErr w:type="spellEnd"/>
          </w:p>
        </w:tc>
        <w:tc>
          <w:tcPr>
            <w:tcW w:w="2035" w:type="dxa"/>
          </w:tcPr>
          <w:p w14:paraId="727EAFBC" w14:textId="077DAB2E" w:rsidR="005F5A28" w:rsidRDefault="00B8201D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B8201D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Қараша-желтоқсан</w:t>
            </w:r>
            <w:proofErr w:type="spellEnd"/>
          </w:p>
        </w:tc>
        <w:tc>
          <w:tcPr>
            <w:tcW w:w="2067" w:type="dxa"/>
          </w:tcPr>
          <w:p w14:paraId="0128B8FC" w14:textId="775238F1" w:rsidR="005F5A28" w:rsidRPr="00346E27" w:rsidRDefault="00346E27" w:rsidP="001D5AA9">
            <w:pPr>
              <w:rPr>
                <w:rFonts w:eastAsia="Times New Roman"/>
                <w:b w:val="0"/>
                <w:sz w:val="18"/>
                <w:szCs w:val="18"/>
                <w:lang w:val="kk-KZ"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Е</w:t>
            </w:r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сеп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val="kk-KZ" w:eastAsia="ru-RU"/>
              </w:rPr>
              <w:t xml:space="preserve"> беру</w:t>
            </w:r>
          </w:p>
        </w:tc>
        <w:tc>
          <w:tcPr>
            <w:tcW w:w="2064" w:type="dxa"/>
          </w:tcPr>
          <w:p w14:paraId="124D4E6D" w14:textId="2206CB85" w:rsidR="005F5A28" w:rsidRPr="00346E27" w:rsidRDefault="00346E27" w:rsidP="00B937B5">
            <w:pPr>
              <w:rPr>
                <w:rFonts w:eastAsia="Times New Roman"/>
                <w:b w:val="0"/>
                <w:sz w:val="18"/>
                <w:szCs w:val="18"/>
                <w:lang w:val="kk-KZ" w:eastAsia="ru-RU"/>
              </w:rPr>
            </w:pPr>
            <w:r w:rsidRPr="00346E27">
              <w:rPr>
                <w:rFonts w:eastAsia="Times New Roman"/>
                <w:b w:val="0"/>
                <w:sz w:val="18"/>
                <w:szCs w:val="18"/>
                <w:lang w:val="kk-KZ" w:eastAsia="ru-RU"/>
              </w:rPr>
              <w:t>Сыбайлас жемқорлыққа қарсы комплаенс-қызмет, Алматы қ. ДСБ құрылымдық бөлімшелері</w:t>
            </w:r>
          </w:p>
        </w:tc>
      </w:tr>
      <w:tr w:rsidR="00744439" w14:paraId="5366F056" w14:textId="77777777" w:rsidTr="00346E27">
        <w:tc>
          <w:tcPr>
            <w:tcW w:w="654" w:type="dxa"/>
          </w:tcPr>
          <w:p w14:paraId="6925C2F5" w14:textId="77777777" w:rsidR="00744439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74" w:type="dxa"/>
          </w:tcPr>
          <w:p w14:paraId="68B53147" w14:textId="1C909840" w:rsidR="00744439" w:rsidRDefault="00346E27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Ағарту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іс-шараларын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өткізу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іс-қимыл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бойынша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көрнекі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ақпаратты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35" w:type="dxa"/>
          </w:tcPr>
          <w:p w14:paraId="0A306FCD" w14:textId="0C4574F0" w:rsidR="00744439" w:rsidRDefault="00B8201D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B8201D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Қараша-желтоқсан</w:t>
            </w:r>
            <w:proofErr w:type="spellEnd"/>
          </w:p>
        </w:tc>
        <w:tc>
          <w:tcPr>
            <w:tcW w:w="2067" w:type="dxa"/>
          </w:tcPr>
          <w:p w14:paraId="7F3DBA60" w14:textId="1EEB9627" w:rsidR="00744439" w:rsidRDefault="00346E27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Есеп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val="kk-KZ" w:eastAsia="ru-RU"/>
              </w:rPr>
              <w:t xml:space="preserve"> беру</w:t>
            </w:r>
          </w:p>
        </w:tc>
        <w:tc>
          <w:tcPr>
            <w:tcW w:w="2064" w:type="dxa"/>
          </w:tcPr>
          <w:p w14:paraId="09B2C7ED" w14:textId="77777777" w:rsidR="00346E27" w:rsidRPr="00346E27" w:rsidRDefault="00346E27" w:rsidP="00346E2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комплаенс-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қызмет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,</w:t>
            </w:r>
          </w:p>
          <w:p w14:paraId="2AAC9528" w14:textId="77777777" w:rsidR="00346E27" w:rsidRPr="00346E27" w:rsidRDefault="00346E27" w:rsidP="00346E2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Алматы қ. ДСБ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құрылымдық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бөлімшелері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,</w:t>
            </w:r>
          </w:p>
          <w:p w14:paraId="0CAC91ED" w14:textId="39E2F301" w:rsidR="00744439" w:rsidRDefault="00346E27" w:rsidP="00346E2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Басқа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құрылымдық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бөлімшелер</w:t>
            </w:r>
            <w:proofErr w:type="spellEnd"/>
          </w:p>
        </w:tc>
      </w:tr>
      <w:tr w:rsidR="00744439" w14:paraId="4AAFA2DA" w14:textId="77777777" w:rsidTr="00346E27">
        <w:tc>
          <w:tcPr>
            <w:tcW w:w="654" w:type="dxa"/>
          </w:tcPr>
          <w:p w14:paraId="2F1EF8C5" w14:textId="77777777" w:rsidR="00744439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4" w:type="dxa"/>
          </w:tcPr>
          <w:p w14:paraId="523A7C20" w14:textId="21AA8BCB" w:rsidR="00744439" w:rsidRDefault="00346E27" w:rsidP="00744439">
            <w:pPr>
              <w:jc w:val="both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фактілерінің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алдын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алу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және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жолын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кесу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мәселелері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бойынша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кәсіпорын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қызметкерлері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үшін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жемқорлықтың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алдын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алу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және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оған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іс-қимыл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сұрақтары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туралы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ақпаратты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ұсыну</w:t>
            </w:r>
            <w:proofErr w:type="spellEnd"/>
          </w:p>
        </w:tc>
        <w:tc>
          <w:tcPr>
            <w:tcW w:w="2035" w:type="dxa"/>
          </w:tcPr>
          <w:p w14:paraId="28B8BA4F" w14:textId="65BDE03D" w:rsidR="00744439" w:rsidRDefault="00346E27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Қажет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болған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жағдайда</w:t>
            </w:r>
            <w:proofErr w:type="spellEnd"/>
          </w:p>
        </w:tc>
        <w:tc>
          <w:tcPr>
            <w:tcW w:w="2067" w:type="dxa"/>
          </w:tcPr>
          <w:p w14:paraId="51D024A4" w14:textId="77D2A289" w:rsidR="00744439" w:rsidRDefault="00346E27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Кеңес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2064" w:type="dxa"/>
          </w:tcPr>
          <w:p w14:paraId="391A8D68" w14:textId="5B02B9E0" w:rsidR="00744439" w:rsidRDefault="00346E27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комплаенс-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</w:tr>
      <w:tr w:rsidR="00346E27" w14:paraId="795EA39E" w14:textId="77777777" w:rsidTr="00346E27">
        <w:tc>
          <w:tcPr>
            <w:tcW w:w="654" w:type="dxa"/>
          </w:tcPr>
          <w:p w14:paraId="4F075764" w14:textId="77777777" w:rsidR="00346E27" w:rsidRDefault="00346E27" w:rsidP="00346E2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74" w:type="dxa"/>
          </w:tcPr>
          <w:p w14:paraId="195448B8" w14:textId="77777777" w:rsidR="00346E27" w:rsidRPr="00346E27" w:rsidRDefault="00346E27" w:rsidP="00346E2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Кәсіпорынның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іс-қимылы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туралы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интернет-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ресурстың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арнайы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бөлімінің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жұмыс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істеуін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ету</w:t>
            </w:r>
            <w:proofErr w:type="spellEnd"/>
          </w:p>
          <w:p w14:paraId="67B07B21" w14:textId="043FA973" w:rsidR="00346E27" w:rsidRDefault="00346E27" w:rsidP="00346E2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</w:tcPr>
          <w:p w14:paraId="78709F17" w14:textId="42EA7917" w:rsidR="00346E27" w:rsidRDefault="00346E27" w:rsidP="00346E2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Қажет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болған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жағдайда</w:t>
            </w:r>
            <w:proofErr w:type="spellEnd"/>
          </w:p>
        </w:tc>
        <w:tc>
          <w:tcPr>
            <w:tcW w:w="2067" w:type="dxa"/>
          </w:tcPr>
          <w:p w14:paraId="13942A19" w14:textId="77777777" w:rsidR="00346E27" w:rsidRDefault="00346E27" w:rsidP="00346E2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2064" w:type="dxa"/>
          </w:tcPr>
          <w:p w14:paraId="361FB48F" w14:textId="5D6F70F2" w:rsidR="00346E27" w:rsidRDefault="00346E27" w:rsidP="00346E27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комплаенс-</w:t>
            </w:r>
            <w:proofErr w:type="spellStart"/>
            <w:r w:rsidRPr="00346E27">
              <w:rPr>
                <w:rFonts w:eastAsia="Times New Roman"/>
                <w:b w:val="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</w:tr>
      <w:tr w:rsidR="00744439" w14:paraId="533F2050" w14:textId="77777777" w:rsidTr="00346E27">
        <w:tc>
          <w:tcPr>
            <w:tcW w:w="10194" w:type="dxa"/>
            <w:gridSpan w:val="5"/>
          </w:tcPr>
          <w:p w14:paraId="3EB7E427" w14:textId="77777777" w:rsidR="00E910A7" w:rsidRPr="00346E27" w:rsidRDefault="00E910A7" w:rsidP="00B937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FB87A78" w14:textId="561A399C" w:rsidR="00744439" w:rsidRPr="00E910A7" w:rsidRDefault="005247E0" w:rsidP="00E910A7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18"/>
                <w:szCs w:val="18"/>
                <w:lang w:eastAsia="ru-RU"/>
              </w:rPr>
            </w:pPr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мониторинг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жүргізу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шаралар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( Алматы қ. ҚДБ 2022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жылғы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14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қазандағы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№ 298 "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іс-қимыл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бірлескен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іс-шаралардың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кешенді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жоспарын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іске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асыру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туралы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бұйрығының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талаптарын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ескере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отырып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)</w:t>
            </w:r>
            <w:r w:rsidR="00744439" w:rsidRPr="00E910A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44439" w14:paraId="4F462D4D" w14:textId="77777777" w:rsidTr="00346E27">
        <w:tc>
          <w:tcPr>
            <w:tcW w:w="654" w:type="dxa"/>
          </w:tcPr>
          <w:p w14:paraId="37C78B48" w14:textId="77777777" w:rsidR="00744439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74" w:type="dxa"/>
          </w:tcPr>
          <w:p w14:paraId="7D372A69" w14:textId="7EA7E20F" w:rsidR="00744439" w:rsidRDefault="005247E0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ТМККК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және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міндетті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медициналық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сақтандыру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жүйесі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шеңберінде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дәрілік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заттар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медициналық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бұйымдарды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сатып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алуда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мониторинг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жүргізу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(2021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жылдан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бастап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2022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жылдың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ағымдағы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кезеңіне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дейін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35" w:type="dxa"/>
          </w:tcPr>
          <w:p w14:paraId="4862F581" w14:textId="3C268B8E" w:rsidR="00744439" w:rsidRDefault="005247E0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B8201D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Қараша-желтоқсан</w:t>
            </w:r>
            <w:proofErr w:type="spellEnd"/>
          </w:p>
        </w:tc>
        <w:tc>
          <w:tcPr>
            <w:tcW w:w="2067" w:type="dxa"/>
          </w:tcPr>
          <w:p w14:paraId="17713D58" w14:textId="6F1D7EB8" w:rsidR="00744439" w:rsidRDefault="005247E0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мониторингтің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нәтижесі</w:t>
            </w:r>
            <w:proofErr w:type="spellEnd"/>
          </w:p>
        </w:tc>
        <w:tc>
          <w:tcPr>
            <w:tcW w:w="2064" w:type="dxa"/>
          </w:tcPr>
          <w:p w14:paraId="6E4B0686" w14:textId="1B0E0453" w:rsidR="00744439" w:rsidRDefault="005247E0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комплаенс-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қызмет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, Алматы қ. ҚДБ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құрылымдық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бөлімшелері</w:t>
            </w:r>
            <w:proofErr w:type="spellEnd"/>
          </w:p>
        </w:tc>
      </w:tr>
      <w:tr w:rsidR="006034F1" w14:paraId="287F46BE" w14:textId="77777777" w:rsidTr="00346E27">
        <w:tc>
          <w:tcPr>
            <w:tcW w:w="654" w:type="dxa"/>
          </w:tcPr>
          <w:p w14:paraId="5244CF18" w14:textId="77777777" w:rsidR="006034F1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74" w:type="dxa"/>
          </w:tcPr>
          <w:p w14:paraId="34C9A9AE" w14:textId="70D848CA" w:rsidR="006034F1" w:rsidRDefault="005247E0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кәсіпорындардың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әкімшілік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шығыстарына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мониторинг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жүргізу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(2021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жылдан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бастап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2022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жылдың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ағымдағы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кезеңіне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дейін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35" w:type="dxa"/>
          </w:tcPr>
          <w:p w14:paraId="377F4982" w14:textId="6D33F148" w:rsidR="006034F1" w:rsidRDefault="005247E0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B8201D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Қараша-желтоқсан</w:t>
            </w:r>
            <w:proofErr w:type="spellEnd"/>
          </w:p>
        </w:tc>
        <w:tc>
          <w:tcPr>
            <w:tcW w:w="2067" w:type="dxa"/>
          </w:tcPr>
          <w:p w14:paraId="2933DD24" w14:textId="213BF24C" w:rsidR="006034F1" w:rsidRDefault="005247E0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мониторингтің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нәтижесі</w:t>
            </w:r>
            <w:proofErr w:type="spellEnd"/>
          </w:p>
        </w:tc>
        <w:tc>
          <w:tcPr>
            <w:tcW w:w="2064" w:type="dxa"/>
          </w:tcPr>
          <w:p w14:paraId="45B76A8C" w14:textId="4AA54E47" w:rsidR="006034F1" w:rsidRDefault="005247E0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комплаенс-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қызмет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, Алматы қ. ҚДБ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құрылымдық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бөлімшелері</w:t>
            </w:r>
            <w:proofErr w:type="spellEnd"/>
          </w:p>
        </w:tc>
      </w:tr>
      <w:tr w:rsidR="006034F1" w14:paraId="5D6F0ED3" w14:textId="77777777" w:rsidTr="00346E27">
        <w:tc>
          <w:tcPr>
            <w:tcW w:w="654" w:type="dxa"/>
          </w:tcPr>
          <w:p w14:paraId="35C99E3F" w14:textId="77777777" w:rsidR="006034F1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74" w:type="dxa"/>
          </w:tcPr>
          <w:p w14:paraId="12C8ABB5" w14:textId="26C0A686" w:rsidR="006034F1" w:rsidRDefault="005247E0" w:rsidP="006034F1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Алматы қ. ҚДБ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қызметкерлеріне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сондай-ақ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Алматы қ.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Қоғамдық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денсаулық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сақтау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басқармасына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ведомстволық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бағынысты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ұйымдардың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басшыларына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оның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орынбасарларына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, бас (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аға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бухгалтерлерге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(2021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жылдан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бастап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2022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жылдың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ағымдағы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кезеңіне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дейін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)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сыйақы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және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өзге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сыйақы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жүйесінің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мониторингін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жүргізу</w:t>
            </w:r>
            <w:proofErr w:type="spellEnd"/>
          </w:p>
        </w:tc>
        <w:tc>
          <w:tcPr>
            <w:tcW w:w="2035" w:type="dxa"/>
          </w:tcPr>
          <w:p w14:paraId="377009E8" w14:textId="5EDDC846" w:rsidR="006034F1" w:rsidRDefault="005247E0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B8201D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Қараша-желтоқсан</w:t>
            </w:r>
            <w:proofErr w:type="spellEnd"/>
          </w:p>
        </w:tc>
        <w:tc>
          <w:tcPr>
            <w:tcW w:w="2067" w:type="dxa"/>
          </w:tcPr>
          <w:p w14:paraId="6038EA3D" w14:textId="1A65847C" w:rsidR="006034F1" w:rsidRDefault="005247E0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мониторингтің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нәтижесі</w:t>
            </w:r>
            <w:proofErr w:type="spellEnd"/>
          </w:p>
        </w:tc>
        <w:tc>
          <w:tcPr>
            <w:tcW w:w="2064" w:type="dxa"/>
          </w:tcPr>
          <w:p w14:paraId="027F01A7" w14:textId="6DCA2360" w:rsidR="006034F1" w:rsidRDefault="005247E0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комплаенс-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қызмет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, Алматы қ. ҚДБ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құрылымдық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бөлімшелері</w:t>
            </w:r>
            <w:proofErr w:type="spellEnd"/>
          </w:p>
        </w:tc>
      </w:tr>
      <w:tr w:rsidR="006034F1" w14:paraId="25964FFF" w14:textId="77777777" w:rsidTr="00346E27">
        <w:tc>
          <w:tcPr>
            <w:tcW w:w="654" w:type="dxa"/>
          </w:tcPr>
          <w:p w14:paraId="0898A679" w14:textId="77777777" w:rsidR="006034F1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74" w:type="dxa"/>
          </w:tcPr>
          <w:p w14:paraId="63373710" w14:textId="7FE11C6B" w:rsidR="006034F1" w:rsidRDefault="005247E0" w:rsidP="006034F1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тәуекелдерін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іш</w:t>
            </w:r>
            <w:proofErr w:type="spellEnd"/>
            <w:r>
              <w:rPr>
                <w:rFonts w:eastAsia="Times New Roman"/>
                <w:b w:val="0"/>
                <w:sz w:val="18"/>
                <w:szCs w:val="18"/>
                <w:lang w:val="kk-KZ" w:eastAsia="ru-RU"/>
              </w:rPr>
              <w:t>інара</w:t>
            </w:r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2035" w:type="dxa"/>
          </w:tcPr>
          <w:p w14:paraId="5848491D" w14:textId="57335C76" w:rsidR="006034F1" w:rsidRPr="005247E0" w:rsidRDefault="005247E0" w:rsidP="00B937B5">
            <w:pPr>
              <w:rPr>
                <w:rFonts w:eastAsia="Times New Roman"/>
                <w:b w:val="0"/>
                <w:sz w:val="18"/>
                <w:szCs w:val="18"/>
                <w:lang w:val="kk-KZ"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kk-KZ" w:eastAsia="ru-RU"/>
              </w:rPr>
              <w:t>Жыл сайын</w:t>
            </w:r>
          </w:p>
        </w:tc>
        <w:tc>
          <w:tcPr>
            <w:tcW w:w="2067" w:type="dxa"/>
          </w:tcPr>
          <w:p w14:paraId="6829B161" w14:textId="61F77325" w:rsidR="006034F1" w:rsidRDefault="005247E0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Талдамалық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анықтама</w:t>
            </w:r>
            <w:proofErr w:type="spellEnd"/>
          </w:p>
        </w:tc>
        <w:tc>
          <w:tcPr>
            <w:tcW w:w="2064" w:type="dxa"/>
          </w:tcPr>
          <w:p w14:paraId="2286B9E5" w14:textId="69FEE4D2" w:rsidR="006034F1" w:rsidRDefault="005247E0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комплаенс-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</w:tr>
      <w:tr w:rsidR="005F5A28" w14:paraId="7CE7568D" w14:textId="77777777" w:rsidTr="00346E27">
        <w:tc>
          <w:tcPr>
            <w:tcW w:w="10194" w:type="dxa"/>
            <w:gridSpan w:val="5"/>
          </w:tcPr>
          <w:p w14:paraId="1287C042" w14:textId="3E56EDD2" w:rsidR="005F5A28" w:rsidRPr="00E910A7" w:rsidRDefault="005247E0" w:rsidP="00E910A7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III.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жемқорлық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тәуекелдерін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жасауға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ықпал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ететін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себептер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жағдайларды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анықтау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зерделеу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іс-шаралар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(Алматы қ. ҚДБ 2022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жылғы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14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қазандағы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№ 298 "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жемқорлыққа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қарсы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іс-қимыл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бірлескен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іс-шаралардың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кешенді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жоспарын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іске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асыру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туралы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бұйрығының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талаптарын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ескере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отырып</w:t>
            </w:r>
            <w:proofErr w:type="spellEnd"/>
            <w:r w:rsidRPr="005247E0">
              <w:rPr>
                <w:rFonts w:eastAsia="Times New Roman"/>
                <w:sz w:val="18"/>
                <w:szCs w:val="18"/>
                <w:lang w:eastAsia="ru-RU"/>
              </w:rPr>
              <w:t>)</w:t>
            </w:r>
            <w:r w:rsidR="00E910A7" w:rsidRPr="00E910A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5247E0" w14:paraId="7D057F74" w14:textId="77777777" w:rsidTr="00346E27">
        <w:tc>
          <w:tcPr>
            <w:tcW w:w="654" w:type="dxa"/>
          </w:tcPr>
          <w:p w14:paraId="51F0505D" w14:textId="77777777" w:rsidR="005247E0" w:rsidRDefault="005247E0" w:rsidP="005247E0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74" w:type="dxa"/>
          </w:tcPr>
          <w:p w14:paraId="0B47E46B" w14:textId="19044C02" w:rsidR="005247E0" w:rsidRDefault="005247E0" w:rsidP="005247E0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Сыбайлас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жемқорлық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тәуекелдеріне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жүргізілген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ішкі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талдау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нәтижелерін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lastRenderedPageBreak/>
              <w:t>талдау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(2022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жылғы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01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қаңтардан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бастап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қазіргі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уақытқа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дейінгі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кезеңге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35" w:type="dxa"/>
          </w:tcPr>
          <w:p w14:paraId="60128E2C" w14:textId="5A3D35E7" w:rsidR="005247E0" w:rsidRDefault="005247E0" w:rsidP="005247E0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B8201D">
              <w:rPr>
                <w:rFonts w:eastAsia="Times New Roman"/>
                <w:b w:val="0"/>
                <w:sz w:val="18"/>
                <w:szCs w:val="18"/>
                <w:lang w:eastAsia="ru-RU"/>
              </w:rPr>
              <w:lastRenderedPageBreak/>
              <w:t>Қараша-желтоқсан</w:t>
            </w:r>
            <w:proofErr w:type="spellEnd"/>
          </w:p>
        </w:tc>
        <w:tc>
          <w:tcPr>
            <w:tcW w:w="2067" w:type="dxa"/>
          </w:tcPr>
          <w:p w14:paraId="42E51BC1" w14:textId="1F128434" w:rsidR="005247E0" w:rsidRDefault="005247E0" w:rsidP="005247E0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Талдамалық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анықтама</w:t>
            </w:r>
            <w:proofErr w:type="spellEnd"/>
          </w:p>
        </w:tc>
        <w:tc>
          <w:tcPr>
            <w:tcW w:w="2064" w:type="dxa"/>
          </w:tcPr>
          <w:p w14:paraId="6A6698EC" w14:textId="63267A1B" w:rsidR="005247E0" w:rsidRDefault="005247E0" w:rsidP="005247E0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Алматы қ. ҚДБ-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ның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құқықтық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жұмыс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және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lastRenderedPageBreak/>
              <w:t>мемлекеттік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сатып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алу</w:t>
            </w:r>
            <w:proofErr w:type="spellEnd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47E0">
              <w:rPr>
                <w:rFonts w:eastAsia="Times New Roman"/>
                <w:b w:val="0"/>
                <w:sz w:val="18"/>
                <w:szCs w:val="18"/>
                <w:lang w:eastAsia="ru-RU"/>
              </w:rPr>
              <w:t>бөлімі</w:t>
            </w:r>
            <w:proofErr w:type="spellEnd"/>
          </w:p>
        </w:tc>
      </w:tr>
      <w:tr w:rsidR="005F5A28" w14:paraId="6C0E740F" w14:textId="77777777" w:rsidTr="00346E27">
        <w:tc>
          <w:tcPr>
            <w:tcW w:w="654" w:type="dxa"/>
          </w:tcPr>
          <w:p w14:paraId="56F790A8" w14:textId="77777777" w:rsidR="005F5A28" w:rsidRDefault="005F5A28" w:rsidP="001D5AA9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374" w:type="dxa"/>
          </w:tcPr>
          <w:p w14:paraId="72755F42" w14:textId="285498A2" w:rsidR="005F5A28" w:rsidRDefault="00B26FF4" w:rsidP="00B26FF4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kk-KZ" w:eastAsia="ru-RU"/>
              </w:rPr>
              <w:t>М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емлекеттік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сатып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алу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саласындағы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заңнаманы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бұзу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фактілер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бойынша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уақытылы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шаралар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қабылдау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(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сатып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алуда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жосықсыз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қатысушылар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жағынан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35" w:type="dxa"/>
          </w:tcPr>
          <w:p w14:paraId="1BD46C34" w14:textId="3684708B" w:rsidR="005F5A28" w:rsidRDefault="00B26FF4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Қажет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болған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жағдайда</w:t>
            </w:r>
            <w:proofErr w:type="spellEnd"/>
          </w:p>
        </w:tc>
        <w:tc>
          <w:tcPr>
            <w:tcW w:w="2067" w:type="dxa"/>
          </w:tcPr>
          <w:p w14:paraId="3F47B8DE" w14:textId="2A1472FD" w:rsidR="005F5A28" w:rsidRDefault="00B26FF4" w:rsidP="00B937B5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Сотқа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жүгіну</w:t>
            </w:r>
            <w:proofErr w:type="spellEnd"/>
          </w:p>
        </w:tc>
        <w:tc>
          <w:tcPr>
            <w:tcW w:w="2064" w:type="dxa"/>
          </w:tcPr>
          <w:p w14:paraId="7C008F26" w14:textId="77777777" w:rsidR="00B26FF4" w:rsidRPr="00B26FF4" w:rsidRDefault="00B26FF4" w:rsidP="00B26FF4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МСА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маман,</w:t>
            </w:r>
          </w:p>
          <w:p w14:paraId="3C809CEA" w14:textId="77777777" w:rsidR="00B26FF4" w:rsidRPr="00B26FF4" w:rsidRDefault="00B26FF4" w:rsidP="00B26FF4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Заңгер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,</w:t>
            </w:r>
          </w:p>
          <w:p w14:paraId="5DB10B61" w14:textId="2D109D71" w:rsidR="005F5A28" w:rsidRDefault="00B26FF4" w:rsidP="00B26FF4">
            <w:pPr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Басқа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құрылымдық</w:t>
            </w:r>
            <w:proofErr w:type="spellEnd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FF4">
              <w:rPr>
                <w:rFonts w:eastAsia="Times New Roman"/>
                <w:b w:val="0"/>
                <w:sz w:val="18"/>
                <w:szCs w:val="18"/>
                <w:lang w:eastAsia="ru-RU"/>
              </w:rPr>
              <w:t>бөлімшелер</w:t>
            </w:r>
            <w:proofErr w:type="spellEnd"/>
          </w:p>
        </w:tc>
      </w:tr>
    </w:tbl>
    <w:p w14:paraId="01874BE7" w14:textId="77777777" w:rsidR="00744439" w:rsidRDefault="00744439" w:rsidP="00E910A7">
      <w:pPr>
        <w:spacing w:after="0" w:line="240" w:lineRule="auto"/>
        <w:rPr>
          <w:rFonts w:eastAsia="Times New Roman"/>
          <w:b w:val="0"/>
          <w:sz w:val="27"/>
          <w:szCs w:val="27"/>
          <w:lang w:eastAsia="ru-RU"/>
        </w:rPr>
      </w:pPr>
    </w:p>
    <w:sectPr w:rsidR="00744439" w:rsidSect="001D5A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1A5"/>
    <w:multiLevelType w:val="hybridMultilevel"/>
    <w:tmpl w:val="D7DE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34477"/>
    <w:multiLevelType w:val="hybridMultilevel"/>
    <w:tmpl w:val="6478ED9A"/>
    <w:lvl w:ilvl="0" w:tplc="F0B015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09"/>
    <w:rsid w:val="001669BD"/>
    <w:rsid w:val="001D5AA9"/>
    <w:rsid w:val="00346E27"/>
    <w:rsid w:val="003D331C"/>
    <w:rsid w:val="004D6F9C"/>
    <w:rsid w:val="005247E0"/>
    <w:rsid w:val="005F5A28"/>
    <w:rsid w:val="006034F1"/>
    <w:rsid w:val="00677209"/>
    <w:rsid w:val="00744439"/>
    <w:rsid w:val="00991F4C"/>
    <w:rsid w:val="00B26FF4"/>
    <w:rsid w:val="00B66459"/>
    <w:rsid w:val="00B8201D"/>
    <w:rsid w:val="00CC12F9"/>
    <w:rsid w:val="00D2018B"/>
    <w:rsid w:val="00DB6D87"/>
    <w:rsid w:val="00DC1942"/>
    <w:rsid w:val="00DF2402"/>
    <w:rsid w:val="00E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B667"/>
  <w15:docId w15:val="{872E43F7-5296-4A40-9770-8E4BC9EC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2022-11-21T10:33:00Z</dcterms:created>
  <dcterms:modified xsi:type="dcterms:W3CDTF">2022-11-27T14:38:00Z</dcterms:modified>
</cp:coreProperties>
</file>