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BC6B" w14:textId="77777777" w:rsidR="0023659D" w:rsidRP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14:paraId="1D5687C4" w14:textId="77777777" w:rsid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ДЗ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МИ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14:paraId="5DD2D591" w14:textId="77777777" w:rsidR="0023659D" w:rsidRDefault="0023659D" w:rsidP="002365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14D919" w14:textId="1BA32BC5" w:rsidR="00C82606" w:rsidRDefault="00D97060" w:rsidP="00236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1E0F9E" w14:textId="77777777" w:rsidR="0098639D" w:rsidRPr="0098639D" w:rsidRDefault="00D97060" w:rsidP="009863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ұсынысының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№113 ҚР ДСМ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 8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52BBFE5C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59D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10BB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59D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0BB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2D3ABA19" w14:textId="0AB0E9BD" w:rsidR="009930B8" w:rsidRDefault="00236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3223D7CC" w14:textId="77777777" w:rsidR="0098639D" w:rsidRDefault="0098639D" w:rsidP="0098639D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№8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Приказом Министра здравоохранения и социального развития Республики Казахстан от 12 ноября 2021 года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ДСМ </w:t>
      </w:r>
      <w:r>
        <w:rPr>
          <w:rFonts w:ascii="Times New Roman" w:hAnsi="Times New Roman" w:cs="Times New Roman"/>
          <w:b/>
          <w:sz w:val="24"/>
          <w:szCs w:val="24"/>
        </w:rPr>
        <w:t>№ 113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14:paraId="45F7764A" w14:textId="1A42D3AA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23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23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интернет-ресурсе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6520"/>
        <w:gridCol w:w="851"/>
        <w:gridCol w:w="1134"/>
        <w:gridCol w:w="1417"/>
        <w:gridCol w:w="1843"/>
      </w:tblGrid>
      <w:tr w:rsidR="00A6031B" w:rsidRPr="00A6031B" w14:paraId="70998FE9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7B7FA62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shd w:val="clear" w:color="auto" w:fill="FFFFFF" w:themeFill="background1"/>
            <w:noWrap/>
            <w:vAlign w:val="center"/>
          </w:tcPr>
          <w:p w14:paraId="580D4111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Наименование</w:t>
            </w:r>
            <w:r w:rsidR="00ED2DE6"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/МНН</w:t>
            </w:r>
          </w:p>
        </w:tc>
        <w:tc>
          <w:tcPr>
            <w:tcW w:w="6520" w:type="dxa"/>
            <w:shd w:val="clear" w:color="auto" w:fill="FFFFFF" w:themeFill="background1"/>
            <w:noWrap/>
            <w:vAlign w:val="center"/>
          </w:tcPr>
          <w:p w14:paraId="0F85FD40" w14:textId="77777777" w:rsidR="00760A99" w:rsidRPr="00A6031B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2512C16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F150570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47E4B12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7C12998C" w14:textId="77777777" w:rsidR="00760A99" w:rsidRPr="00A6031B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A6031B" w:rsidRPr="00A6031B" w14:paraId="55F1155F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871E84E" w14:textId="55B3870F" w:rsidR="00210BB3" w:rsidRPr="00A6031B" w:rsidRDefault="00210BB3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9CDAF" w14:textId="2B8385F2" w:rsidR="00210BB3" w:rsidRPr="00A6031B" w:rsidRDefault="0023659D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Мизопростол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461C8" w14:textId="71C47E0D" w:rsidR="00210BB3" w:rsidRPr="0023659D" w:rsidRDefault="0023659D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Таблетка 0,2 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7F9C5" w14:textId="061307D7" w:rsidR="00210BB3" w:rsidRPr="0023659D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5B251" w14:textId="2D01A46B" w:rsidR="00210BB3" w:rsidRPr="0023659D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6864C" w14:textId="2A9C2EDA" w:rsidR="00210BB3" w:rsidRPr="0023659D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AE647" w14:textId="1F1A86F5" w:rsidR="00210BB3" w:rsidRPr="0023659D" w:rsidRDefault="0023659D" w:rsidP="00A6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113 779,52</w:t>
            </w:r>
          </w:p>
        </w:tc>
      </w:tr>
      <w:tr w:rsidR="00A6031B" w:rsidRPr="00A6031B" w14:paraId="1ABB8C04" w14:textId="77777777" w:rsidTr="00DF5753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C7D1" w14:textId="0A63EBD2" w:rsidR="00210BB3" w:rsidRPr="00A6031B" w:rsidRDefault="00210BB3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CB3C6" w14:textId="35BB7ED5" w:rsidR="00210BB3" w:rsidRPr="00A6031B" w:rsidRDefault="0023659D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69841" w14:textId="2B5BEF2F" w:rsidR="00210BB3" w:rsidRPr="0023659D" w:rsidRDefault="0023659D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Одноразовый хирургический, </w:t>
            </w:r>
            <w:r w:rsidR="00765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стерильный,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BB839" w14:textId="1FB4CB6C" w:rsidR="00210BB3" w:rsidRPr="0023659D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4EE7" w14:textId="390EB8FC" w:rsidR="00210BB3" w:rsidRPr="00A6031B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AD8D8" w14:textId="293BADF4" w:rsidR="00210BB3" w:rsidRPr="00A6031B" w:rsidRDefault="0023659D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DCA02" w14:textId="13FEF655" w:rsidR="00210BB3" w:rsidRPr="00A6031B" w:rsidRDefault="0023659D" w:rsidP="00A6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1676233</w:t>
            </w:r>
          </w:p>
        </w:tc>
      </w:tr>
      <w:tr w:rsidR="00A6031B" w:rsidRPr="00A6031B" w14:paraId="38BF3AD1" w14:textId="77777777" w:rsidTr="00DF5753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2E67" w14:textId="000A19F3" w:rsidR="00210BB3" w:rsidRPr="00A6031B" w:rsidRDefault="00210BB3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3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197C2" w14:textId="72A1F5A7" w:rsidR="00210BB3" w:rsidRPr="00A6031B" w:rsidRDefault="0023659D" w:rsidP="00AB7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Скарификатор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832D6" w14:textId="18373AB9" w:rsidR="00210BB3" w:rsidRPr="00A6031B" w:rsidRDefault="0023659D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Одноразовый, безболезненный, автоматический, стерильный, </w:t>
            </w:r>
            <w:r w:rsidR="000A79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глубиной прокола 2,8 мм с иглой 21</w:t>
            </w:r>
            <w:r w:rsidR="000A79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="000A799E" w:rsidRPr="000A79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32A2F" w14:textId="0809F161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6433D" w14:textId="15A989A7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E3FCC" w14:textId="60444433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23746" w14:textId="0A344FE5" w:rsidR="00210BB3" w:rsidRPr="00A6031B" w:rsidRDefault="000A799E" w:rsidP="00A6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51880</w:t>
            </w:r>
          </w:p>
        </w:tc>
      </w:tr>
      <w:tr w:rsidR="00A6031B" w:rsidRPr="00A6031B" w14:paraId="45F4A063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A0BCC40" w14:textId="1E922F75" w:rsidR="00210BB3" w:rsidRPr="00A6031B" w:rsidRDefault="00210BB3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79CF9" w14:textId="0E1A9D93" w:rsidR="00210BB3" w:rsidRPr="00A6031B" w:rsidRDefault="000A799E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Катетер уретральный женский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DE19C" w14:textId="38C6BE55" w:rsidR="00210BB3" w:rsidRPr="00A6031B" w:rsidRDefault="000A799E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СН18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4FFC1" w14:textId="5145424A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4600A" w14:textId="3F84EB0F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519B3" w14:textId="4BC54F08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7DF76" w14:textId="4DE6377B" w:rsidR="00210BB3" w:rsidRPr="00A6031B" w:rsidRDefault="000A799E" w:rsidP="00A60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353780</w:t>
            </w:r>
          </w:p>
        </w:tc>
      </w:tr>
      <w:tr w:rsidR="00A6031B" w:rsidRPr="00A6031B" w14:paraId="53537E77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05BA5516" w14:textId="69336D7A" w:rsidR="00210BB3" w:rsidRPr="00A6031B" w:rsidRDefault="00210BB3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EE590" w14:textId="437DBC7C" w:rsidR="00210BB3" w:rsidRPr="00A6031B" w:rsidRDefault="000A799E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Бахилы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9A479" w14:textId="48454791" w:rsidR="00210BB3" w:rsidRPr="00A6031B" w:rsidRDefault="000A799E" w:rsidP="000A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нетканого материала, одноразовые, нестерильные, низкие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783A8" w14:textId="1DF500B0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2ABBC" w14:textId="44FAF5E2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30DC2" w14:textId="3B4E2877" w:rsidR="00210BB3" w:rsidRPr="00A6031B" w:rsidRDefault="000A799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3A9BD" w14:textId="2D4A1439" w:rsidR="00210BB3" w:rsidRPr="00A6031B" w:rsidRDefault="000A799E" w:rsidP="00A60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74828</w:t>
            </w:r>
          </w:p>
        </w:tc>
      </w:tr>
      <w:tr w:rsidR="006E70BE" w:rsidRPr="00A6031B" w14:paraId="45A56451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5B00EC5" w14:textId="7506578E" w:rsidR="006E70BE" w:rsidRPr="00A6031B" w:rsidRDefault="006E70B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38751" w14:textId="42E62102" w:rsidR="006E70BE" w:rsidRDefault="006E70BE" w:rsidP="00FD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Многоосный вращательный миксер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AE98C" w14:textId="0EA4682C" w:rsidR="006E70BE" w:rsidRDefault="006E70BE" w:rsidP="000A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180*95*430мм, длинна роликов 330 мм, вес не менее 3600 г, снабжение от электросети 220-230В, Гц, мощность электропотребления не более 20 Вт, скорость вращения роликов  0,3-5 об/мин с возможностью регулировки, количество вращающихся роликов не менее 5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E5F66" w14:textId="473A1ADD" w:rsidR="006E70BE" w:rsidRDefault="006E70BE" w:rsidP="00A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EA718" w14:textId="1B257BCF" w:rsidR="006E70BE" w:rsidRDefault="006E70B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D11CB" w14:textId="527589D2" w:rsidR="006E70BE" w:rsidRDefault="006E70BE" w:rsidP="00A6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07CED" w14:textId="5C6A3EFA" w:rsidR="006E70BE" w:rsidRDefault="006E70BE" w:rsidP="00A60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177385</w:t>
            </w:r>
          </w:p>
        </w:tc>
      </w:tr>
      <w:tr w:rsidR="00D33F5C" w:rsidRPr="00A6031B" w14:paraId="588A34D3" w14:textId="77777777" w:rsidTr="00DF575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3073040" w14:textId="77777777" w:rsidR="00D33F5C" w:rsidRPr="00A6031B" w:rsidRDefault="00D33F5C" w:rsidP="00D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300C9" w14:textId="7221B400" w:rsidR="00D33F5C" w:rsidRPr="00A6031B" w:rsidRDefault="00D33F5C" w:rsidP="00D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1EA53" w14:textId="168E74C0" w:rsidR="00D33F5C" w:rsidRPr="00A6031B" w:rsidRDefault="00D33F5C" w:rsidP="00D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73AAF" w14:textId="2E553992" w:rsidR="00D33F5C" w:rsidRPr="00A6031B" w:rsidRDefault="00D33F5C" w:rsidP="00D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31ED1" w14:textId="19C4CF66" w:rsidR="00D33F5C" w:rsidRPr="00A6031B" w:rsidRDefault="00D33F5C" w:rsidP="00D33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23090" w14:textId="51A749BE" w:rsidR="00D33F5C" w:rsidRPr="00A6031B" w:rsidRDefault="00D33F5C" w:rsidP="00D33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DC8B9" w14:textId="64220F4A" w:rsidR="00D33F5C" w:rsidRPr="0031526B" w:rsidRDefault="00375DC3" w:rsidP="006E70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</w:t>
            </w:r>
            <w:r w:rsidR="006E7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E7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5,52</w:t>
            </w:r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606"/>
    <w:rsid w:val="000017AD"/>
    <w:rsid w:val="00007A72"/>
    <w:rsid w:val="000334A7"/>
    <w:rsid w:val="00047C34"/>
    <w:rsid w:val="000A4001"/>
    <w:rsid w:val="000A799E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0BB3"/>
    <w:rsid w:val="00213422"/>
    <w:rsid w:val="00220CA9"/>
    <w:rsid w:val="0023659D"/>
    <w:rsid w:val="002648CB"/>
    <w:rsid w:val="00285E05"/>
    <w:rsid w:val="002E5AC1"/>
    <w:rsid w:val="002F4616"/>
    <w:rsid w:val="0030159D"/>
    <w:rsid w:val="00305A74"/>
    <w:rsid w:val="00310C2B"/>
    <w:rsid w:val="0031526B"/>
    <w:rsid w:val="0032722E"/>
    <w:rsid w:val="003308AA"/>
    <w:rsid w:val="0036024E"/>
    <w:rsid w:val="00375DC3"/>
    <w:rsid w:val="003A32C6"/>
    <w:rsid w:val="003B4BC9"/>
    <w:rsid w:val="003E15D1"/>
    <w:rsid w:val="003F0B73"/>
    <w:rsid w:val="00406EC8"/>
    <w:rsid w:val="00424BEB"/>
    <w:rsid w:val="004552D1"/>
    <w:rsid w:val="004658E7"/>
    <w:rsid w:val="004842B2"/>
    <w:rsid w:val="004A17EC"/>
    <w:rsid w:val="004D3DB4"/>
    <w:rsid w:val="004D440F"/>
    <w:rsid w:val="004E29B8"/>
    <w:rsid w:val="00520307"/>
    <w:rsid w:val="005272DA"/>
    <w:rsid w:val="0058555B"/>
    <w:rsid w:val="005979BA"/>
    <w:rsid w:val="005A637E"/>
    <w:rsid w:val="005D6A3E"/>
    <w:rsid w:val="006002B2"/>
    <w:rsid w:val="00606D8D"/>
    <w:rsid w:val="0062785C"/>
    <w:rsid w:val="00676E40"/>
    <w:rsid w:val="00680EC4"/>
    <w:rsid w:val="006B723E"/>
    <w:rsid w:val="006D6FCB"/>
    <w:rsid w:val="006E0A4D"/>
    <w:rsid w:val="006E70BE"/>
    <w:rsid w:val="0072076D"/>
    <w:rsid w:val="00734ECF"/>
    <w:rsid w:val="0074073A"/>
    <w:rsid w:val="00750799"/>
    <w:rsid w:val="00760A99"/>
    <w:rsid w:val="00763AAB"/>
    <w:rsid w:val="00765D0F"/>
    <w:rsid w:val="00795C00"/>
    <w:rsid w:val="007A3C95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8639D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6031B"/>
    <w:rsid w:val="00A75DFB"/>
    <w:rsid w:val="00AB4AFD"/>
    <w:rsid w:val="00AB703E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33F5C"/>
    <w:rsid w:val="00D50E80"/>
    <w:rsid w:val="00D72D4F"/>
    <w:rsid w:val="00D97060"/>
    <w:rsid w:val="00DC1183"/>
    <w:rsid w:val="00DE5EB6"/>
    <w:rsid w:val="00DE7F89"/>
    <w:rsid w:val="00DF139B"/>
    <w:rsid w:val="00DF5753"/>
    <w:rsid w:val="00E02587"/>
    <w:rsid w:val="00E147E3"/>
    <w:rsid w:val="00E30A70"/>
    <w:rsid w:val="00E3718B"/>
    <w:rsid w:val="00E47E00"/>
    <w:rsid w:val="00E91710"/>
    <w:rsid w:val="00EA28D0"/>
    <w:rsid w:val="00ED2DE6"/>
    <w:rsid w:val="00ED75EB"/>
    <w:rsid w:val="00EF538B"/>
    <w:rsid w:val="00EF59B8"/>
    <w:rsid w:val="00F837F1"/>
    <w:rsid w:val="00F90304"/>
    <w:rsid w:val="00FD1371"/>
    <w:rsid w:val="00FE0225"/>
    <w:rsid w:val="00FE352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7F754773-4DED-4690-84A7-2EBC784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76FC-6DD6-4E82-8614-2C6635C9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Хабарландыру</vt:lpstr>
      <vt:lpstr>баға ұсыныстарын сұрату тәсілімен ДЗ және МИ сатып алуды жүзеге асыру туралы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"Тегін медициналық көмектің кепілдік берілген көлемі шеңберінде және (немесе) </vt:lpstr>
      <vt:lpstr>Объявление </vt:lpstr>
      <vt:lpstr>об осуществлении закупа ЛС и МИ способом запроса ценовых предложений </vt:lpstr>
      <vt:lpstr>* Постановление Правительства Республики Казахстан от 4 июня 2021 года № 375 «Об</vt:lpstr>
      <vt:lpstr/>
      <vt:lpstr/>
    </vt:vector>
  </TitlesOfParts>
  <Company>diakov.net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User</cp:lastModifiedBy>
  <cp:revision>13</cp:revision>
  <cp:lastPrinted>2022-01-03T12:10:00Z</cp:lastPrinted>
  <dcterms:created xsi:type="dcterms:W3CDTF">2021-08-16T13:35:00Z</dcterms:created>
  <dcterms:modified xsi:type="dcterms:W3CDTF">2022-01-27T12:00:00Z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