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031E4" w14:textId="77777777" w:rsidR="00C82606" w:rsidRDefault="00D97060" w:rsidP="00FE35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 w:rsidR="009930B8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9930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әріөдәрімекті және </w:t>
      </w:r>
      <w:proofErr w:type="spellStart"/>
      <w:r w:rsidR="008C67DB">
        <w:rPr>
          <w:rFonts w:ascii="Times New Roman" w:hAnsi="Times New Roman" w:cs="Times New Roman"/>
          <w:b/>
          <w:sz w:val="24"/>
          <w:szCs w:val="24"/>
        </w:rPr>
        <w:t>медициналы</w:t>
      </w:r>
      <w:proofErr w:type="spellEnd"/>
      <w:r w:rsidR="008C67DB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тәсілімен</w:t>
      </w:r>
      <w:proofErr w:type="spellEnd"/>
    </w:p>
    <w:p w14:paraId="6EB6D4F6" w14:textId="77777777"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14:paraId="7714D919" w14:textId="77777777"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 Алматы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басқармасының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перзентхана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 ШЖҚ МКК,  Алматы қ.,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</w:t>
      </w:r>
      <w:proofErr w:type="spellEnd"/>
      <w:r>
        <w:rPr>
          <w:rFonts w:ascii="Times New Roman" w:hAnsi="Times New Roman" w:cs="Times New Roman"/>
          <w:sz w:val="24"/>
          <w:szCs w:val="24"/>
        </w:rPr>
        <w:t>., 492.</w:t>
      </w:r>
    </w:p>
    <w:p w14:paraId="75D99E79" w14:textId="77777777"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(саны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38A174AE" w14:textId="77777777"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нысаны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Қазақстан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Республикасы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әлеуметтік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даму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министрінің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жылғы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қаңтардағы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№20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ұйрығымен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бекітілген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2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ажырамас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бөлігі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</w:p>
    <w:p w14:paraId="25060045" w14:textId="243C1043" w:rsidR="00C82606" w:rsidRPr="00424BEB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жеткізушілердің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Алматы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492, бас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дәрігердің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бөлмесі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кабинеті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73879">
        <w:rPr>
          <w:rFonts w:ascii="Times New Roman" w:hAnsi="Times New Roman" w:cs="Times New Roman"/>
          <w:b/>
          <w:sz w:val="24"/>
          <w:szCs w:val="24"/>
        </w:rPr>
        <w:t>5</w:t>
      </w:r>
      <w:r w:rsidR="001D15A8" w:rsidRPr="001F7FD9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1F7FD9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973879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9D0132">
        <w:rPr>
          <w:rFonts w:ascii="Times New Roman" w:hAnsi="Times New Roman" w:cs="Times New Roman"/>
          <w:b/>
          <w:sz w:val="24"/>
          <w:szCs w:val="24"/>
        </w:rPr>
        <w:t>.</w:t>
      </w:r>
      <w:r w:rsidR="005979BA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ж. 09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879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F7FD9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5979B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ж. 1</w:t>
      </w:r>
      <w:r w:rsidR="007D1B9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жұмыс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тәртібі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демалыс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күндері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түскі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үзілісті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қоспағанда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13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  <w:r w:rsidR="00133656" w:rsidRPr="00133656">
        <w:t xml:space="preserve">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ұсыныстары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бар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конверттерді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минутта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аш</w:t>
      </w:r>
      <w:r w:rsidR="00133656">
        <w:rPr>
          <w:rFonts w:ascii="Times New Roman" w:hAnsi="Times New Roman" w:cs="Times New Roman"/>
          <w:b/>
          <w:sz w:val="24"/>
          <w:szCs w:val="24"/>
        </w:rPr>
        <w:t>ылады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>.</w:t>
      </w:r>
    </w:p>
    <w:p w14:paraId="72450E5C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келісімін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білдіретін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E44E192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желімделген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лицензиялау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рәсімдері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арқылы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әрекеттерді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операцияларды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құқығын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ұсынылатын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Қағидалардың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* 4-тарауында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8E8B83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жағында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көрсетеді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E8AE286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жеткізушінің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байланыс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телефоны,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электрондық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көрсетушілерінің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қатысу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тауарларды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алулардың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12128E4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7-тармағының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журналында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тіркелмейді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қайтарылады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02A701F" w14:textId="77777777" w:rsidR="00C82606" w:rsidRDefault="00D97060">
      <w:pPr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аяқталған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қорытындылар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интернет-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орналастырылады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www.roddom01.kz</w:t>
        </w:r>
      </w:hyperlink>
    </w:p>
    <w:p w14:paraId="371C1F11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өкілі</w:t>
      </w:r>
      <w:proofErr w:type="spellEnd"/>
      <w:r>
        <w:rPr>
          <w:rFonts w:ascii="Times New Roman" w:hAnsi="Times New Roman" w:cs="Times New Roman"/>
          <w:sz w:val="24"/>
          <w:szCs w:val="24"/>
        </w:rPr>
        <w:t>: Карибаев Б.Х. МС экономист-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тел: 292-11-75, эл.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zakup.roddom@mail.ru</w:t>
      </w:r>
    </w:p>
    <w:p w14:paraId="4CE0A5CB" w14:textId="77777777" w:rsidR="00C82606" w:rsidRDefault="00C8260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14535AF" w14:textId="77777777" w:rsidR="00C82606" w:rsidRDefault="00D97060">
      <w:pPr>
        <w:pStyle w:val="1"/>
        <w:spacing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</w:t>
      </w:r>
    </w:p>
    <w:p w14:paraId="37296BB8" w14:textId="77777777" w:rsidR="00C82606" w:rsidRDefault="00C51BD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18"/>
          <w:szCs w:val="18"/>
          <w:lang w:eastAsia="ru-RU"/>
        </w:rPr>
      </w:pPr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* "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Тегін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медициналық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көмектің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кепілдік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берілген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көлемі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шеңберінде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және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(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немесе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)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міндетті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әлеуметтік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медициналық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сақтандыру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жүйесінде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дәрілік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заттарды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,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медициналық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бұйымдар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мен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мамандандырылған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емдік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өнімдерді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,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фармацевтикалық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қызметтерді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сатып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алуды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ұйымдастыру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және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өткізу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қағидаларын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бекіту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туралы"Қазақстан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Республикасы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Үкіметінің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2021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жылғы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4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маусымдағы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№ 375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қаулысы</w:t>
      </w:r>
      <w:proofErr w:type="spellEnd"/>
    </w:p>
    <w:p w14:paraId="4B162FF5" w14:textId="77777777"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14:paraId="2D3ABA19" w14:textId="77777777" w:rsidR="009930B8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lastRenderedPageBreak/>
        <w:t xml:space="preserve">Объявление </w:t>
      </w:r>
    </w:p>
    <w:p w14:paraId="410220BB" w14:textId="77777777" w:rsidR="00C82606" w:rsidRDefault="009930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>о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 xml:space="preserve"> 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осуществлении закупа 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>ЛС и МИ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 xml:space="preserve"> 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способом запроса ценовых предложений </w:t>
      </w:r>
    </w:p>
    <w:p w14:paraId="09AE8300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6E43B0B" w14:textId="77777777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 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ГКП на ПХВ «Городской родильный дом №1» Управления здравоохранения Алматы, г. Алматы, пр. Сейфуллина,492.</w:t>
      </w:r>
    </w:p>
    <w:p w14:paraId="7CB9D6A1" w14:textId="77777777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 лекарственных средств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 (количество и цена)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14:paraId="006BE331" w14:textId="77777777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закупа лекарственных средств способом запроса ценовых предложений (далее – объявление) прилагаются перечень закупаемых лекарственных средств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(Приложение №1 к объявлению), типовая форма ценового предложения (Приложение №2 к объявлению, утвержденная </w:t>
      </w:r>
      <w:r>
        <w:rPr>
          <w:rFonts w:ascii="Times New Roman" w:hAnsi="Times New Roman" w:cs="Times New Roman"/>
          <w:b/>
          <w:sz w:val="24"/>
          <w:szCs w:val="24"/>
        </w:rPr>
        <w:t>Приказом Министра здравоохранения и социального развития Республики Казахстан от 18 января 2017 года №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являются неотъемлемой частью 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</w:t>
      </w:r>
    </w:p>
    <w:p w14:paraId="45F7764A" w14:textId="0FA27CEF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г.Алматы,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492, приемная главного врача, кабинет государственных закупок,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09 часов 00 минут </w:t>
      </w:r>
      <w:r w:rsidR="009738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F7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9738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до 1</w:t>
      </w:r>
      <w:r w:rsidR="007D1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 00 минут </w:t>
      </w:r>
      <w:r w:rsidR="009738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.</w:t>
      </w:r>
      <w:r w:rsidR="001F7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11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(режим работы с 09 часов 00 минут до 18 часов 00 минут за исключением выходных дней и обеденного перерыва с 13 часов 00 минут до 14 часов 00 минут).</w:t>
      </w:r>
      <w:r w:rsidR="001336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Вскрытие конвертов с ценовыми предложениями в 14 часов 00 минут.</w:t>
      </w:r>
    </w:p>
    <w:p w14:paraId="4181C429" w14:textId="77777777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2A4F1E94" w14:textId="77777777" w:rsidR="00C82606" w:rsidRDefault="00D97060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Правил*.</w:t>
      </w:r>
    </w:p>
    <w:p w14:paraId="3854EAC2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  На лицевой стороне запечатанного конверта с ценовым предложением потенциальный поставщик указывает:</w:t>
      </w:r>
    </w:p>
    <w:p w14:paraId="2CBEE9E5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поставщика; наименование, адрес местонахождения организатора закупок; наименование закупок товаров для участия в которых предоставляется ценовое предложение потенциального поставщика.</w:t>
      </w:r>
    </w:p>
    <w:p w14:paraId="331FD2BB" w14:textId="77777777" w:rsidR="00C82606" w:rsidRDefault="00D970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Конверт с ценовым предложением, предоставленный после истечения установленного срока и/или с нарушением требований пункта 7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14:paraId="66E40FEC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 Протокол размещается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заказчика: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01.kz</w:t>
      </w:r>
    </w:p>
    <w:p w14:paraId="5643AF38" w14:textId="77777777" w:rsidR="00C82606" w:rsidRDefault="00D97060">
      <w:pPr>
        <w:shd w:val="clear" w:color="auto" w:fill="FCFCFC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Уполномоченный представитель организатора закупок: Карибаев Б.Х. экономист-специалист ГЗ тел: 292-11-75, эл. адрес: </w:t>
      </w:r>
      <w:r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7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14:paraId="7DA5D30D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D9EA683" w14:textId="77777777"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* Постановление Правительства Республики Казахстан </w:t>
      </w:r>
      <w:r w:rsidR="00C51BD1" w:rsidRPr="00C51BD1">
        <w:rPr>
          <w:b w:val="0"/>
          <w:sz w:val="18"/>
          <w:szCs w:val="18"/>
        </w:rPr>
        <w:t>от 4 июня 2021 года № 375</w:t>
      </w:r>
      <w:r w:rsidR="00C51BD1" w:rsidRPr="00C51BD1">
        <w:rPr>
          <w:sz w:val="18"/>
          <w:szCs w:val="18"/>
        </w:rPr>
        <w:t xml:space="preserve"> </w:t>
      </w:r>
      <w:r>
        <w:rPr>
          <w:b w:val="0"/>
          <w:sz w:val="18"/>
          <w:szCs w:val="18"/>
        </w:rPr>
        <w:t xml:space="preserve">«Об утверждении </w:t>
      </w:r>
      <w:r w:rsidR="00C51BD1" w:rsidRPr="00C51BD1">
        <w:rPr>
          <w:b w:val="0"/>
          <w:sz w:val="18"/>
          <w:szCs w:val="1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>
        <w:rPr>
          <w:b w:val="0"/>
          <w:sz w:val="18"/>
          <w:szCs w:val="18"/>
        </w:rPr>
        <w:t>»</w:t>
      </w:r>
    </w:p>
    <w:p w14:paraId="2A66D51F" w14:textId="77777777" w:rsidR="00C82606" w:rsidRDefault="00C826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460ABE75" w14:textId="77777777" w:rsidR="00C82606" w:rsidRDefault="00D9706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№ 1 </w:t>
      </w:r>
      <w:r>
        <w:rPr>
          <w:rFonts w:ascii="Times New Roman" w:hAnsi="Times New Roman" w:cs="Times New Roman"/>
          <w:lang w:val="kk-KZ"/>
        </w:rPr>
        <w:t>Қ</w:t>
      </w:r>
      <w:proofErr w:type="spellStart"/>
      <w:r>
        <w:rPr>
          <w:rFonts w:ascii="Times New Roman" w:hAnsi="Times New Roman" w:cs="Times New Roman"/>
        </w:rPr>
        <w:t>осымша</w:t>
      </w:r>
      <w:proofErr w:type="spellEnd"/>
      <w:r>
        <w:rPr>
          <w:rFonts w:ascii="Times New Roman" w:hAnsi="Times New Roman" w:cs="Times New Roman"/>
          <w:lang w:val="kk-KZ"/>
        </w:rPr>
        <w:t>/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№1</w:t>
      </w:r>
    </w:p>
    <w:p w14:paraId="25397130" w14:textId="77777777" w:rsidR="00C82606" w:rsidRDefault="00D9706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сатып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алынатын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7DB">
        <w:rPr>
          <w:rFonts w:ascii="Times New Roman" w:hAnsi="Times New Roman" w:cs="Times New Roman"/>
          <w:b/>
          <w:sz w:val="28"/>
          <w:szCs w:val="28"/>
          <w:lang w:val="kk-KZ"/>
        </w:rPr>
        <w:t>медициналық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заттардың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ізбесі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еречень закупаемых </w:t>
      </w:r>
      <w:r w:rsidR="00327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медицинских изделий </w:t>
      </w: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3119"/>
        <w:gridCol w:w="8512"/>
        <w:gridCol w:w="598"/>
        <w:gridCol w:w="640"/>
        <w:gridCol w:w="992"/>
        <w:gridCol w:w="1337"/>
      </w:tblGrid>
      <w:tr w:rsidR="00760A99" w:rsidRPr="006002B2" w14:paraId="70998FE9" w14:textId="77777777" w:rsidTr="004842B2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27B7FA62" w14:textId="77777777" w:rsidR="00760A99" w:rsidRPr="006002B2" w:rsidRDefault="00760A99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80D4111" w14:textId="77777777" w:rsidR="00760A99" w:rsidRPr="006002B2" w:rsidRDefault="00760A99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Наименование</w:t>
            </w:r>
            <w:r w:rsidR="00ED2DE6" w:rsidRPr="00600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/МНН</w:t>
            </w:r>
          </w:p>
        </w:tc>
        <w:tc>
          <w:tcPr>
            <w:tcW w:w="8512" w:type="dxa"/>
            <w:shd w:val="clear" w:color="auto" w:fill="auto"/>
            <w:noWrap/>
            <w:vAlign w:val="center"/>
          </w:tcPr>
          <w:p w14:paraId="0F85FD40" w14:textId="77777777" w:rsidR="00760A99" w:rsidRPr="006002B2" w:rsidRDefault="00ED2DE6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Лекарственная формула/техническая спецификация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22512C16" w14:textId="77777777" w:rsidR="00760A99" w:rsidRPr="006002B2" w:rsidRDefault="00760A99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1F150570" w14:textId="77777777" w:rsidR="00760A99" w:rsidRPr="006002B2" w:rsidRDefault="00760A99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47E4B12" w14:textId="77777777" w:rsidR="00760A99" w:rsidRPr="006002B2" w:rsidRDefault="00760A99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14:paraId="7C12998C" w14:textId="77777777" w:rsidR="00760A99" w:rsidRPr="006002B2" w:rsidRDefault="00760A99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6002B2" w:rsidRPr="006002B2" w14:paraId="1ABB8C04" w14:textId="77777777" w:rsidTr="006002B2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C7D1" w14:textId="77777777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CB3C6" w14:textId="2201EA11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Долутегравир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 мг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69841" w14:textId="3E7D629F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Долутегравир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(в пересчете на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долутегравир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виде свободной кислоты) 52,6 (50,0) Вспомогательные вещества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Маннитол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q.s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(до 145,4) Целлюлоза микрокристаллическая 60,0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К29/32 15,0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Карбоксиметилкрахмал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21,0 Натрия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стеарилфумарат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6,0 Масса ядра таблетки 300,0 Пленочная оболочка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Опадрай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® II желтый 85F92461 9,0 Масса таблетки с оболочкой 309,0 Состав пленочной оболочки: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Опадрай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® II 85F92461 Наименование компонентов Количество, % м/м Желтый Поливиниловый спирт, частично гидролизованный 40,00 Титана диоксид 23,45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Макрогол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Полиэтиленгликоль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20,20 Тальк 14,80 Железа оксид желтый 1,55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9BB839" w14:textId="6B3D3C6F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F74EE7" w14:textId="4042BAA1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9AD8D8" w14:textId="6F0A4A56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1653,35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7DCA02" w14:textId="47132D93" w:rsidR="006002B2" w:rsidRPr="006002B2" w:rsidRDefault="006002B2" w:rsidP="00600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1653,35</w:t>
            </w:r>
          </w:p>
        </w:tc>
      </w:tr>
      <w:tr w:rsidR="006002B2" w:rsidRPr="006002B2" w14:paraId="38BF3AD1" w14:textId="77777777" w:rsidTr="006002B2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2E67" w14:textId="77777777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197C2" w14:textId="756369FB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Натрия</w:t>
            </w:r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оксибат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832D6" w14:textId="01E5A910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инекций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200мг/мл по 10 мл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532A2F" w14:textId="62938D6C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86433D" w14:textId="2DE22906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CE3FCC" w14:textId="0D9D56ED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164,44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723746" w14:textId="269DDCAA" w:rsidR="006002B2" w:rsidRPr="006002B2" w:rsidRDefault="006002B2" w:rsidP="00600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16444</w:t>
            </w:r>
          </w:p>
        </w:tc>
      </w:tr>
      <w:tr w:rsidR="006002B2" w:rsidRPr="006002B2" w14:paraId="49E2EAEF" w14:textId="77777777" w:rsidTr="006002B2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3B39" w14:textId="77777777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CA9BD" w14:textId="4A291C15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Невирапин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 мг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730DD" w14:textId="77777777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таблетка содержит</w:t>
            </w:r>
          </w:p>
          <w:p w14:paraId="488A62F4" w14:textId="77777777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активное вещество</w:t>
            </w: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–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невирапин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200.00 мг,</w:t>
            </w:r>
          </w:p>
          <w:p w14:paraId="6E787BB1" w14:textId="00030E39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вспомогательные вещества: </w:t>
            </w: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целлюлоза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микрокристалическая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лактоза, натрия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кроскармеллоза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повидон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кремния диоксид коллоидный, тальк ФСША, магния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стеарат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2E32CF" w14:textId="1045638C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FEC44" w14:textId="24C91B6B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F7C7F7" w14:textId="3AF987F7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130,28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BF31B6" w14:textId="23D4AD01" w:rsidR="006002B2" w:rsidRPr="006002B2" w:rsidRDefault="006002B2" w:rsidP="00600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7816,8</w:t>
            </w:r>
          </w:p>
        </w:tc>
      </w:tr>
      <w:tr w:rsidR="006002B2" w:rsidRPr="006002B2" w14:paraId="63F8068E" w14:textId="77777777" w:rsidTr="006002B2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A82B" w14:textId="77777777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4F30" w14:textId="13E3745D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Тенофовир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300 мг №30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3CE9B" w14:textId="77777777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- 1 таб.:</w:t>
            </w:r>
          </w:p>
          <w:p w14:paraId="7F49DA56" w14:textId="77777777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Активные вещества: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Тенофовира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дизопроксил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фумарат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300,0 мг.</w:t>
            </w:r>
          </w:p>
          <w:p w14:paraId="4F4A00C4" w14:textId="77777777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шт. в упаковке.</w:t>
            </w:r>
          </w:p>
          <w:p w14:paraId="650C2BDA" w14:textId="77777777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6002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лекарственной формы</w:t>
            </w:r>
          </w:p>
          <w:p w14:paraId="1E179EC2" w14:textId="1EFB436E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Круглые двояковыпуклые таблетки, покрытые пленочной оболочкой голубого цвета, на поперечном разрезе видны два слоя, ядро таблетки белого или почти белого цвета.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32315A" w14:textId="2856A8C1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9C0381" w14:textId="13380BF3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3F37BB" w14:textId="71DF3040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426,21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49C42E" w14:textId="47BAE94E" w:rsidR="006002B2" w:rsidRPr="006002B2" w:rsidRDefault="006002B2" w:rsidP="00600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426,21</w:t>
            </w:r>
          </w:p>
        </w:tc>
      </w:tr>
      <w:tr w:rsidR="006002B2" w:rsidRPr="006002B2" w14:paraId="66A94CF7" w14:textId="77777777" w:rsidTr="006002B2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3D205A84" w14:textId="77777777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D3D4722" w14:textId="21C4F48A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Физионил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2,27%-2 л</w:t>
            </w:r>
          </w:p>
        </w:tc>
        <w:tc>
          <w:tcPr>
            <w:tcW w:w="8512" w:type="dxa"/>
            <w:shd w:val="clear" w:color="auto" w:fill="auto"/>
            <w:noWrap/>
            <w:vAlign w:val="center"/>
          </w:tcPr>
          <w:p w14:paraId="52DE9A46" w14:textId="1BE6114D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Действующие компоненты (после смешивания содержимого камер А и Б): глюкозы моногидрат (25 г/л, что эквивалентно безводной глюкозе 22,7 г/л), кальция хлорида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дигидрат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(0,184 г/л), магния хлорида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гексагидрат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(0,051 г/л), натрия хлорид (5,38 г/л), натрия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лактат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(1,68 г/л), натрия гидрокарбонат (2,10 г/л).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40D14EBD" w14:textId="64326F2B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38C6844C" w14:textId="4092A840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2CE3712" w14:textId="16BE2974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6031,41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14:paraId="2C2370C0" w14:textId="4663C74C" w:rsidR="006002B2" w:rsidRPr="006002B2" w:rsidRDefault="006002B2" w:rsidP="00600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90471,15</w:t>
            </w:r>
          </w:p>
        </w:tc>
      </w:tr>
      <w:tr w:rsidR="00BD48E7" w:rsidRPr="006002B2" w14:paraId="308CBD51" w14:textId="77777777" w:rsidTr="006002B2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5BC13A3D" w14:textId="22479AF4" w:rsidR="00BD48E7" w:rsidRPr="006002B2" w:rsidRDefault="00BD48E7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EE421FC" w14:textId="2E605C53" w:rsidR="00BD48E7" w:rsidRPr="006002B2" w:rsidRDefault="00973879" w:rsidP="00BD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Шприц инъекционный трехкомпонентный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саморазрушающийся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стерильный однократного применения</w:t>
            </w:r>
            <w:r w:rsidR="00894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объема 0,05мл</w:t>
            </w:r>
          </w:p>
        </w:tc>
        <w:tc>
          <w:tcPr>
            <w:tcW w:w="8512" w:type="dxa"/>
            <w:shd w:val="clear" w:color="auto" w:fill="auto"/>
            <w:noWrap/>
            <w:vAlign w:val="center"/>
          </w:tcPr>
          <w:p w14:paraId="30F882A3" w14:textId="6C95BD0E" w:rsidR="00BD48E7" w:rsidRPr="006002B2" w:rsidRDefault="00894263" w:rsidP="0004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Шприц изготовлен из высококачественного пластика и </w:t>
            </w:r>
            <w:r w:rsidR="00047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состоит 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цилиндра с градуировкой поршня, резинового уплотнительного кольца, иглы, защитного колпачка, металлического зажима </w:t>
            </w:r>
            <w:r w:rsidR="00047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0,05 мл или пластмассового устройства блокировки, препятствующего повторному использованию. Игла с трехгранной заточкой покрыта тонким слоем силикона. Конструкция шприца выполнена таким образом, что позволяет безошибочно заполнить шприц необходимым количеством препарата. Стерилизован </w:t>
            </w:r>
            <w:proofErr w:type="spellStart"/>
            <w:r w:rsidR="00047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этиленоксидом</w:t>
            </w:r>
            <w:proofErr w:type="spellEnd"/>
            <w:r w:rsidR="00047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Срок годности:5 лет.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48B862A2" w14:textId="4933CC67" w:rsidR="00BD48E7" w:rsidRPr="006002B2" w:rsidRDefault="00BD48E7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64ACBC43" w14:textId="798C0556" w:rsidR="00BD48E7" w:rsidRPr="006002B2" w:rsidRDefault="005E2E76" w:rsidP="00600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D48E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BF4742" w14:textId="369F1B01" w:rsidR="00BD48E7" w:rsidRPr="006002B2" w:rsidRDefault="00894263" w:rsidP="00600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14:paraId="321D7E8D" w14:textId="12A0BCD0" w:rsidR="00BD48E7" w:rsidRPr="006002B2" w:rsidRDefault="005E2E76" w:rsidP="006002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89426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BD48E7" w:rsidRPr="006002B2" w14:paraId="45F4A063" w14:textId="77777777" w:rsidTr="006002B2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4A0BCC40" w14:textId="77777777" w:rsidR="00BD48E7" w:rsidRDefault="00BD48E7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1A79CF9" w14:textId="77777777" w:rsidR="00BD48E7" w:rsidRPr="00BD48E7" w:rsidRDefault="00BD48E7" w:rsidP="00BD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2" w:type="dxa"/>
            <w:shd w:val="clear" w:color="auto" w:fill="auto"/>
            <w:noWrap/>
            <w:vAlign w:val="center"/>
          </w:tcPr>
          <w:p w14:paraId="563DE19C" w14:textId="77777777" w:rsidR="00BD48E7" w:rsidRPr="00BD48E7" w:rsidRDefault="00BD48E7" w:rsidP="00BD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1F04FFC1" w14:textId="77777777" w:rsidR="00BD48E7" w:rsidRDefault="00BD48E7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1DD4600A" w14:textId="77777777" w:rsidR="00BD48E7" w:rsidRDefault="00BD48E7" w:rsidP="00600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77519B3" w14:textId="77777777" w:rsidR="00BD48E7" w:rsidRDefault="00BD48E7" w:rsidP="00600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</w:tcPr>
          <w:p w14:paraId="6267DF76" w14:textId="0CB314CA" w:rsidR="00BD48E7" w:rsidRDefault="005E2E76" w:rsidP="006002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  <w:bookmarkStart w:id="0" w:name="_GoBack"/>
            <w:bookmarkEnd w:id="0"/>
            <w:r w:rsidR="00047C34">
              <w:rPr>
                <w:rFonts w:ascii="Times New Roman" w:hAnsi="Times New Roman" w:cs="Times New Roman"/>
                <w:sz w:val="20"/>
                <w:szCs w:val="20"/>
              </w:rPr>
              <w:t>811,51</w:t>
            </w:r>
          </w:p>
        </w:tc>
      </w:tr>
    </w:tbl>
    <w:p w14:paraId="3C6A647B" w14:textId="5AE1CA15" w:rsidR="00047C34" w:rsidRDefault="00047C34" w:rsidP="000C4AEE">
      <w:pPr>
        <w:pStyle w:val="1"/>
        <w:jc w:val="both"/>
        <w:rPr>
          <w:sz w:val="24"/>
          <w:szCs w:val="24"/>
        </w:rPr>
      </w:pPr>
    </w:p>
    <w:p w14:paraId="23127A92" w14:textId="02B96412" w:rsidR="00047C34" w:rsidRPr="00047C34" w:rsidRDefault="00047C34" w:rsidP="000C4AEE">
      <w:pPr>
        <w:pStyle w:val="1"/>
        <w:jc w:val="both"/>
        <w:rPr>
          <w:sz w:val="24"/>
          <w:szCs w:val="24"/>
        </w:rPr>
      </w:pPr>
    </w:p>
    <w:sectPr w:rsidR="00047C34" w:rsidRPr="00047C34" w:rsidSect="00FE3525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3ED5"/>
    <w:multiLevelType w:val="multilevel"/>
    <w:tmpl w:val="4B46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F5588"/>
    <w:multiLevelType w:val="multilevel"/>
    <w:tmpl w:val="187A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77A11"/>
    <w:multiLevelType w:val="multilevel"/>
    <w:tmpl w:val="7552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6C1A18"/>
    <w:multiLevelType w:val="multilevel"/>
    <w:tmpl w:val="870A16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606"/>
    <w:rsid w:val="000017AD"/>
    <w:rsid w:val="00007A72"/>
    <w:rsid w:val="000334A7"/>
    <w:rsid w:val="00047C34"/>
    <w:rsid w:val="000C4930"/>
    <w:rsid w:val="000C4AEE"/>
    <w:rsid w:val="000E6D23"/>
    <w:rsid w:val="00100C2A"/>
    <w:rsid w:val="00101CCE"/>
    <w:rsid w:val="0011008D"/>
    <w:rsid w:val="00133656"/>
    <w:rsid w:val="001415B3"/>
    <w:rsid w:val="00146EB9"/>
    <w:rsid w:val="001716C5"/>
    <w:rsid w:val="0019450E"/>
    <w:rsid w:val="001D15A8"/>
    <w:rsid w:val="001E4149"/>
    <w:rsid w:val="001E6428"/>
    <w:rsid w:val="001F1ECB"/>
    <w:rsid w:val="001F7FD9"/>
    <w:rsid w:val="0021095F"/>
    <w:rsid w:val="00213422"/>
    <w:rsid w:val="00220CA9"/>
    <w:rsid w:val="002648CB"/>
    <w:rsid w:val="00285E05"/>
    <w:rsid w:val="002E5AC1"/>
    <w:rsid w:val="002F4616"/>
    <w:rsid w:val="0030159D"/>
    <w:rsid w:val="00305A74"/>
    <w:rsid w:val="00310C2B"/>
    <w:rsid w:val="0032722E"/>
    <w:rsid w:val="003308AA"/>
    <w:rsid w:val="0036024E"/>
    <w:rsid w:val="003A32C6"/>
    <w:rsid w:val="003B4BC9"/>
    <w:rsid w:val="003F0B73"/>
    <w:rsid w:val="00406EC8"/>
    <w:rsid w:val="00424BEB"/>
    <w:rsid w:val="004552D1"/>
    <w:rsid w:val="004658E7"/>
    <w:rsid w:val="004842B2"/>
    <w:rsid w:val="004A17EC"/>
    <w:rsid w:val="004D3DB4"/>
    <w:rsid w:val="004E29B8"/>
    <w:rsid w:val="00520307"/>
    <w:rsid w:val="0058555B"/>
    <w:rsid w:val="005979BA"/>
    <w:rsid w:val="005A637E"/>
    <w:rsid w:val="005D6A3E"/>
    <w:rsid w:val="005E2E76"/>
    <w:rsid w:val="006002B2"/>
    <w:rsid w:val="00606D8D"/>
    <w:rsid w:val="0062785C"/>
    <w:rsid w:val="00680EC4"/>
    <w:rsid w:val="006B723E"/>
    <w:rsid w:val="006D6FCB"/>
    <w:rsid w:val="006E0A4D"/>
    <w:rsid w:val="0072076D"/>
    <w:rsid w:val="00734ECF"/>
    <w:rsid w:val="00760A99"/>
    <w:rsid w:val="00763AAB"/>
    <w:rsid w:val="00795C00"/>
    <w:rsid w:val="007A6938"/>
    <w:rsid w:val="007B06BD"/>
    <w:rsid w:val="007D1B91"/>
    <w:rsid w:val="0083786B"/>
    <w:rsid w:val="008458EE"/>
    <w:rsid w:val="008624C6"/>
    <w:rsid w:val="0086514F"/>
    <w:rsid w:val="00892AC3"/>
    <w:rsid w:val="00894263"/>
    <w:rsid w:val="008C67DB"/>
    <w:rsid w:val="008D76E2"/>
    <w:rsid w:val="008F28DE"/>
    <w:rsid w:val="008F3D83"/>
    <w:rsid w:val="008F4BF9"/>
    <w:rsid w:val="009132B5"/>
    <w:rsid w:val="009218FC"/>
    <w:rsid w:val="00973879"/>
    <w:rsid w:val="009930B8"/>
    <w:rsid w:val="009A0870"/>
    <w:rsid w:val="009A7EC9"/>
    <w:rsid w:val="009B5B89"/>
    <w:rsid w:val="009B6CDE"/>
    <w:rsid w:val="009C73B4"/>
    <w:rsid w:val="009D0132"/>
    <w:rsid w:val="009F6513"/>
    <w:rsid w:val="00A0515C"/>
    <w:rsid w:val="00A75DFB"/>
    <w:rsid w:val="00AB4AFD"/>
    <w:rsid w:val="00AC3445"/>
    <w:rsid w:val="00B0797E"/>
    <w:rsid w:val="00B20336"/>
    <w:rsid w:val="00B2742F"/>
    <w:rsid w:val="00B768A5"/>
    <w:rsid w:val="00B83A4D"/>
    <w:rsid w:val="00B9013B"/>
    <w:rsid w:val="00B94CDF"/>
    <w:rsid w:val="00BB303B"/>
    <w:rsid w:val="00BD48E7"/>
    <w:rsid w:val="00BF7E1D"/>
    <w:rsid w:val="00C41295"/>
    <w:rsid w:val="00C51BD1"/>
    <w:rsid w:val="00C67513"/>
    <w:rsid w:val="00C82606"/>
    <w:rsid w:val="00C83C21"/>
    <w:rsid w:val="00C84685"/>
    <w:rsid w:val="00CB107F"/>
    <w:rsid w:val="00D30881"/>
    <w:rsid w:val="00D50E80"/>
    <w:rsid w:val="00D72D4F"/>
    <w:rsid w:val="00D97060"/>
    <w:rsid w:val="00DC1183"/>
    <w:rsid w:val="00DE5EB6"/>
    <w:rsid w:val="00DE7F89"/>
    <w:rsid w:val="00E02587"/>
    <w:rsid w:val="00E147E3"/>
    <w:rsid w:val="00E30A70"/>
    <w:rsid w:val="00E3718B"/>
    <w:rsid w:val="00E47E00"/>
    <w:rsid w:val="00EA28D0"/>
    <w:rsid w:val="00ED2DE6"/>
    <w:rsid w:val="00ED75EB"/>
    <w:rsid w:val="00EF538B"/>
    <w:rsid w:val="00EF59B8"/>
    <w:rsid w:val="00F837F1"/>
    <w:rsid w:val="00F90304"/>
    <w:rsid w:val="00FE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8C1F"/>
  <w15:docId w15:val="{9FCDAFE9-FEB1-4B35-9EA4-FB1A2096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E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4162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6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uiPriority w:val="99"/>
    <w:semiHidden/>
    <w:qFormat/>
    <w:rsid w:val="00E7757D"/>
    <w:rPr>
      <w:rFonts w:ascii="Consolas" w:hAnsi="Consolas" w:cs="Consolas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250D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D27D2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14162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ListLabel1">
    <w:name w:val="ListLabel 1"/>
    <w:qFormat/>
    <w:rsid w:val="001F1ECB"/>
    <w:rPr>
      <w:rFonts w:eastAsia="Times New Roman" w:cs="Times New Roman"/>
    </w:rPr>
  </w:style>
  <w:style w:type="character" w:customStyle="1" w:styleId="ListLabel2">
    <w:name w:val="ListLabel 2"/>
    <w:qFormat/>
    <w:rsid w:val="001F1ECB"/>
    <w:rPr>
      <w:rFonts w:cs="Courier New"/>
    </w:rPr>
  </w:style>
  <w:style w:type="character" w:customStyle="1" w:styleId="ListLabel3">
    <w:name w:val="ListLabel 3"/>
    <w:qFormat/>
    <w:rsid w:val="001F1ECB"/>
    <w:rPr>
      <w:rFonts w:cs="Courier New"/>
    </w:rPr>
  </w:style>
  <w:style w:type="character" w:customStyle="1" w:styleId="ListLabel4">
    <w:name w:val="ListLabel 4"/>
    <w:qFormat/>
    <w:rsid w:val="001F1ECB"/>
    <w:rPr>
      <w:rFonts w:cs="Courier New"/>
    </w:rPr>
  </w:style>
  <w:style w:type="character" w:customStyle="1" w:styleId="ListLabel5">
    <w:name w:val="ListLabel 5"/>
    <w:qFormat/>
    <w:rsid w:val="001F1ECB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sid w:val="001F1EC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7">
    <w:name w:val="ListLabel 7"/>
    <w:qFormat/>
    <w:rsid w:val="001F1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4"/>
    <w:qFormat/>
    <w:rsid w:val="001F1EC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F1ECB"/>
    <w:pPr>
      <w:spacing w:after="140" w:line="276" w:lineRule="auto"/>
    </w:pPr>
  </w:style>
  <w:style w:type="paragraph" w:styleId="a5">
    <w:name w:val="List"/>
    <w:basedOn w:val="a4"/>
    <w:rsid w:val="001F1ECB"/>
    <w:rPr>
      <w:rFonts w:cs="Arial"/>
    </w:rPr>
  </w:style>
  <w:style w:type="paragraph" w:styleId="a6">
    <w:name w:val="caption"/>
    <w:basedOn w:val="a"/>
    <w:qFormat/>
    <w:rsid w:val="001F1EC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1F1ECB"/>
    <w:pPr>
      <w:suppressLineNumbers/>
    </w:pPr>
    <w:rPr>
      <w:rFonts w:cs="Arial"/>
    </w:rPr>
  </w:style>
  <w:style w:type="paragraph" w:styleId="HTML0">
    <w:name w:val="HTML Preformatted"/>
    <w:basedOn w:val="a"/>
    <w:uiPriority w:val="99"/>
    <w:semiHidden/>
    <w:unhideWhenUsed/>
    <w:qFormat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styleId="a8">
    <w:name w:val="Balloon Text"/>
    <w:basedOn w:val="a"/>
    <w:uiPriority w:val="99"/>
    <w:semiHidden/>
    <w:unhideWhenUsed/>
    <w:qFormat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4162C"/>
    <w:pPr>
      <w:ind w:left="720"/>
      <w:contextualSpacing/>
    </w:pPr>
  </w:style>
  <w:style w:type="table" w:styleId="aa">
    <w:name w:val="Table Grid"/>
    <w:basedOn w:val="a1"/>
    <w:uiPriority w:val="39"/>
    <w:rsid w:val="00D84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39"/>
    <w:rsid w:val="00B4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a"/>
    <w:uiPriority w:val="39"/>
    <w:rsid w:val="00680EC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F46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up.roddo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ddom01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0AE9D-CF7E-412D-A0F9-5E2AB48C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</dc:creator>
  <cp:lastModifiedBy>GZ</cp:lastModifiedBy>
  <cp:revision>16</cp:revision>
  <cp:lastPrinted>2021-11-05T11:43:00Z</cp:lastPrinted>
  <dcterms:created xsi:type="dcterms:W3CDTF">2021-08-16T13:35:00Z</dcterms:created>
  <dcterms:modified xsi:type="dcterms:W3CDTF">2021-11-11T09:51:00Z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