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54DCD6FC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52D1" w:rsidRPr="004552D1">
        <w:rPr>
          <w:rFonts w:ascii="Times New Roman" w:hAnsi="Times New Roman" w:cs="Times New Roman"/>
          <w:b/>
          <w:sz w:val="24"/>
          <w:szCs w:val="24"/>
        </w:rPr>
        <w:t>24</w:t>
      </w:r>
      <w:r w:rsidR="001D15A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51BD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2D1" w:rsidRPr="004552D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51BD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47F768AF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4552D1" w:rsidRPr="0045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5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45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31</w:t>
      </w:r>
      <w:bookmarkStart w:id="0" w:name="_GoBack"/>
      <w:bookmarkEnd w:id="0"/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C51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интернет-ресурсе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166"/>
      </w:tblGrid>
      <w:tr w:rsidR="00760A99" w:rsidRPr="00ED2DE6" w14:paraId="70998FE9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ED2DE6" w:rsidRDefault="00ED2DE6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7C12998C" w14:textId="77777777" w:rsidR="00760A99" w:rsidRPr="00ED2DE6" w:rsidRDefault="00760A99" w:rsidP="006B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6513" w:rsidRPr="00ED2DE6" w14:paraId="1ABB8C04" w14:textId="77777777" w:rsidTr="00B7604D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274463E3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05B8D528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1ED62345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9F6513" w:rsidRPr="00ED2DE6" w14:paraId="38BF3AD1" w14:textId="77777777" w:rsidTr="00B7604D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1813C956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4A1FB5B8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3D8B26A4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1E563068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6B8BBC8D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6ACD64F5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9F6513" w:rsidRPr="00ED2DE6" w14:paraId="49E2EAEF" w14:textId="77777777" w:rsidTr="00B7604D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64A6EF08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BB1" w14:textId="732CF2A0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E64D379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1D117970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426C852B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583DA766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9F6513" w:rsidRPr="00ED2DE6" w14:paraId="63F8068E" w14:textId="77777777" w:rsidTr="00B7604D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504BD9A8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E790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10653783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1E179EC2" w14:textId="160F58E9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65D29E96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5C1AC651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0A370BDD" w:rsidR="009F6513" w:rsidRPr="00ED2DE6" w:rsidRDefault="009F6513" w:rsidP="009F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7CCEC91D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9F6513" w:rsidRPr="00ED2DE6" w14:paraId="66A94CF7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40667B4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24C53C22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3DA0B2BA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58F56342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58EDC513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C2370C0" w14:textId="34AE4B89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9F6513" w:rsidRPr="00ED2DE6" w14:paraId="7978CF76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07FA8A0F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8F0B43" w14:textId="1D94943F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7AFCA74" w14:textId="680807AE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DF69810" w14:textId="171B936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346212" w14:textId="17F28D31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A33897" w14:textId="4F1F622C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3CBEA97C" w14:textId="020615DE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9F6513" w:rsidRPr="00ED2DE6" w14:paraId="4A665845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ABBE4C5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4419A2" w14:textId="3E819DFF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D9709E5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66360E4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5D890EB3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E05DD3D" w14:textId="77777777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F65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20981AF2" w14:textId="720562CB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64E6725" w14:textId="53AC0CD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D7B6E2" w14:textId="0A758121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8FB7AB" w14:textId="58E78D7A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2860478" w14:textId="462B6DE4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9F6513" w:rsidRPr="00ED2DE6" w14:paraId="485AF12B" w14:textId="77777777" w:rsidTr="009A5D93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3551F64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A20E62" w14:textId="0B23A53D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B0E6AEA" w14:textId="7186CDBA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3287E61" w14:textId="5B8F5E1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3853450" w14:textId="26198C92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34E29D" w14:textId="3D328C50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7FE67D1E" w14:textId="573DB9A5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9F6513" w:rsidRPr="00ED2DE6" w14:paraId="40F23D52" w14:textId="77777777" w:rsidTr="009A5D93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63E2CF78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3E0810" w14:textId="7607CDF3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2FF98CC1" w14:textId="2474C968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дигидрат (0,184 г/л), магния хлорида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99A57A" w14:textId="2F5F6470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6DF93D" w14:textId="799CE55D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FF4A4F" w14:textId="13182855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5D2BEE5" w14:textId="20D00EFC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9F6513" w:rsidRPr="00ED2DE6" w14:paraId="3F05914D" w14:textId="77777777" w:rsidTr="003E7F59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8273C5F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CA3A" w14:textId="4C24F352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513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Дыхательный контур реанимационный </w:t>
            </w:r>
            <w:proofErr w:type="spellStart"/>
            <w:r w:rsidRPr="009F6513">
              <w:rPr>
                <w:rFonts w:ascii="Times New Roman" w:hAnsi="Times New Roman" w:cs="Times New Roman"/>
                <w:sz w:val="20"/>
                <w:szCs w:val="20"/>
              </w:rPr>
              <w:t>Flextube</w:t>
            </w:r>
            <w:proofErr w:type="spellEnd"/>
            <w:r w:rsidRPr="009F6513">
              <w:rPr>
                <w:rFonts w:ascii="Times New Roman" w:hAnsi="Times New Roman" w:cs="Times New Roman"/>
                <w:sz w:val="20"/>
                <w:szCs w:val="20"/>
              </w:rPr>
              <w:t xml:space="preserve"> для взрослых, 1,6 м с обогревом </w:t>
            </w:r>
            <w:r w:rsidRPr="009F6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(один провод), с дополнительным шлангом 0,8 м, с </w:t>
            </w:r>
            <w:proofErr w:type="spellStart"/>
            <w:r w:rsidRPr="009F6513">
              <w:rPr>
                <w:rFonts w:ascii="Times New Roman" w:hAnsi="Times New Roman" w:cs="Times New Roman"/>
                <w:sz w:val="20"/>
                <w:szCs w:val="20"/>
              </w:rPr>
              <w:t>влагосборником</w:t>
            </w:r>
            <w:proofErr w:type="spellEnd"/>
            <w:r w:rsidRPr="009F6513">
              <w:rPr>
                <w:rFonts w:ascii="Times New Roman" w:hAnsi="Times New Roman" w:cs="Times New Roman"/>
                <w:sz w:val="20"/>
                <w:szCs w:val="20"/>
              </w:rPr>
              <w:t>, с камерой увлажнителя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D203" w14:textId="40975D97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Дыхательный контур </w:t>
            </w:r>
            <w:proofErr w:type="spellStart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Flextube</w:t>
            </w:r>
            <w:proofErr w:type="spellEnd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реверсивный для взрослых для соединения пациента с НДА и аппаратами ИВЛ для активного увлажнения. Диаметр 22 мм, длина 1,6 м. Гофрированные шланги вдоха/выдоха прозрачные, с параллельным Y-образным соединителем 22М-22М-</w:t>
            </w:r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22М/15F на пациента и 22F на аппарат и камеру увлажнителя, с обогревом, с разборным </w:t>
            </w:r>
            <w:proofErr w:type="spellStart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камерой увлажнения с автоматическим заполнением для увлажнителей типа F&amp;P и дополнительным шлангом 0,5 м.</w:t>
            </w:r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Линия обогрева шланга вдоха подключается к увлажнителю через встроенный в соединитель 22F (на камеру увлажнения) электрический разъём. Y-образный соединитель имеет защитный </w:t>
            </w:r>
            <w:proofErr w:type="spellStart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колпачек</w:t>
            </w:r>
            <w:proofErr w:type="spellEnd"/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красного цвета и порт MDI дозированного введения с герметизирующим колпачком. Имеет два температурных порта на шланге вдоха со стороны пациента и камеры увлажнителя. Шланги вдоха имеют индикаторную окраску и маркировку. Принадлежности: соединитель жёсткий прямой 22М/22М - 2 штуки, жесткий угловой 22М/22F.</w:t>
            </w:r>
            <w:r w:rsidRPr="009F6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Упаковка: индивидуальная, клинически чистая.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BD286BF" w14:textId="6F52BC8F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6881612" w14:textId="78ED7ED7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C36B5B" w14:textId="7083D04A" w:rsidR="009F6513" w:rsidRPr="009F6513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CFA7273" w14:textId="2F04134B" w:rsidR="009F6513" w:rsidRPr="009F6513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F6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217750</w:t>
            </w:r>
          </w:p>
        </w:tc>
      </w:tr>
      <w:tr w:rsidR="009F6513" w:rsidRPr="00ED2DE6" w14:paraId="0CF81B3F" w14:textId="77777777" w:rsidTr="0062785C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0F29301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4FE66AF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2EB5E878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A41378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88BAE33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69891" w14:textId="77777777" w:rsidR="009F6513" w:rsidRPr="00ED2DE6" w:rsidRDefault="009F6513" w:rsidP="009F6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F37DBCD" w14:textId="7B05ED8E" w:rsidR="009F6513" w:rsidRPr="00ED2DE6" w:rsidRDefault="009F6513" w:rsidP="009F6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390846,81</w:t>
            </w:r>
          </w:p>
        </w:tc>
      </w:tr>
    </w:tbl>
    <w:p w14:paraId="2539F636" w14:textId="77777777"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606"/>
    <w:rsid w:val="000017AD"/>
    <w:rsid w:val="00007A72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A17EC"/>
    <w:rsid w:val="004D3DB4"/>
    <w:rsid w:val="004E29B8"/>
    <w:rsid w:val="00520307"/>
    <w:rsid w:val="005979BA"/>
    <w:rsid w:val="005A637E"/>
    <w:rsid w:val="005D6A3E"/>
    <w:rsid w:val="0062785C"/>
    <w:rsid w:val="00680EC4"/>
    <w:rsid w:val="006B723E"/>
    <w:rsid w:val="006D6FCB"/>
    <w:rsid w:val="006E0A4D"/>
    <w:rsid w:val="0072076D"/>
    <w:rsid w:val="00734ECF"/>
    <w:rsid w:val="00760A99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218FC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83A4D"/>
    <w:rsid w:val="00B9013B"/>
    <w:rsid w:val="00B94CDF"/>
    <w:rsid w:val="00BB303B"/>
    <w:rsid w:val="00BF7E1D"/>
    <w:rsid w:val="00C41295"/>
    <w:rsid w:val="00C51BD1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D90E-0095-4BC0-A4AA-3C53E14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Scienses Medlife</cp:lastModifiedBy>
  <cp:revision>9</cp:revision>
  <cp:lastPrinted>2021-05-18T10:02:00Z</cp:lastPrinted>
  <dcterms:created xsi:type="dcterms:W3CDTF">2021-08-16T13:35:00Z</dcterms:created>
  <dcterms:modified xsi:type="dcterms:W3CDTF">2021-08-25T04:30:00Z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