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6428">
        <w:rPr>
          <w:rFonts w:ascii="Times New Roman" w:hAnsi="Times New Roman" w:cs="Times New Roman"/>
          <w:b/>
          <w:sz w:val="24"/>
          <w:szCs w:val="24"/>
          <w:lang w:val="kk-KZ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3C6428">
        <w:rPr>
          <w:rFonts w:ascii="Times New Roman" w:hAnsi="Times New Roman" w:cs="Times New Roman"/>
          <w:b/>
          <w:sz w:val="24"/>
          <w:szCs w:val="24"/>
        </w:rPr>
        <w:t>4.</w:t>
      </w:r>
      <w:r w:rsidR="005979B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42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8F28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Объявление об</w:t>
      </w: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 w:rsidR="008C67D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медицинских изделий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г.Алматы,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3C6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3C6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3C6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8F2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4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p w:rsidR="00680EC4" w:rsidRDefault="00680EC4" w:rsidP="00680E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3054"/>
        <w:gridCol w:w="1276"/>
        <w:gridCol w:w="4865"/>
        <w:gridCol w:w="1659"/>
        <w:gridCol w:w="970"/>
        <w:gridCol w:w="1384"/>
        <w:gridCol w:w="1383"/>
      </w:tblGrid>
      <w:tr w:rsidR="00AC3445" w:rsidRPr="00ED708C" w:rsidTr="00ED708C">
        <w:trPr>
          <w:trHeight w:val="900"/>
        </w:trPr>
        <w:tc>
          <w:tcPr>
            <w:tcW w:w="915" w:type="dxa"/>
            <w:shd w:val="clear" w:color="auto" w:fill="auto"/>
            <w:vAlign w:val="center"/>
            <w:hideMark/>
          </w:tcPr>
          <w:p w:rsidR="00AC3445" w:rsidRPr="00ED708C" w:rsidRDefault="00AC3445" w:rsidP="00E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AC3445" w:rsidRPr="00ED708C" w:rsidRDefault="003C6428" w:rsidP="00E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41" w:type="dxa"/>
            <w:gridSpan w:val="2"/>
            <w:shd w:val="clear" w:color="auto" w:fill="auto"/>
            <w:noWrap/>
            <w:vAlign w:val="center"/>
            <w:hideMark/>
          </w:tcPr>
          <w:p w:rsidR="00AC3445" w:rsidRPr="00ED708C" w:rsidRDefault="003C6428" w:rsidP="00E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Спецификация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AC3445" w:rsidRPr="00ED708C" w:rsidRDefault="00AC3445" w:rsidP="00E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ED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AC3445" w:rsidRPr="00ED708C" w:rsidRDefault="00AC3445" w:rsidP="00E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AC3445" w:rsidRPr="00ED708C" w:rsidRDefault="00AC3445" w:rsidP="00E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AC3445" w:rsidRPr="00ED708C" w:rsidRDefault="00AC3445" w:rsidP="00E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C6428" w:rsidRPr="00ED708C" w:rsidTr="00ED708C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3C6428" w:rsidRPr="00ED708C" w:rsidRDefault="003C6428" w:rsidP="00E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28" w:rsidRPr="00ED708C" w:rsidRDefault="003C6428" w:rsidP="00ED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spellStart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Димер</w:t>
            </w:r>
            <w:proofErr w:type="spellEnd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 xml:space="preserve"> 500, (</w:t>
            </w:r>
            <w:proofErr w:type="spellStart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 xml:space="preserve">.: 4 </w:t>
            </w:r>
            <w:proofErr w:type="spellStart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 xml:space="preserve">. по 3 мл реагента + 4 </w:t>
            </w:r>
            <w:proofErr w:type="spellStart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 xml:space="preserve">. по 9 мл буфер + 2 </w:t>
            </w:r>
            <w:proofErr w:type="spellStart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 xml:space="preserve">. по 1 мл калибратора) из комплекта  Анализатор автоматический </w:t>
            </w:r>
            <w:proofErr w:type="spellStart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коагулометрический</w:t>
            </w:r>
            <w:proofErr w:type="spellEnd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 xml:space="preserve"> для диагностики </w:t>
            </w:r>
            <w:proofErr w:type="spellStart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 xml:space="preserve"> ACL TOP, модификации: ACL TOP 350 CTS, ACL TOP 550 CTS, ACL TOP 750, ACL TOP 750 CTS, ACL TOP 750 LAS ,  t +2+8 С (</w:t>
            </w:r>
            <w:proofErr w:type="spellStart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Biokit</w:t>
            </w:r>
            <w:proofErr w:type="spellEnd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 xml:space="preserve"> S.A., ИСПАНИЯ )</w:t>
            </w:r>
          </w:p>
        </w:tc>
        <w:tc>
          <w:tcPr>
            <w:tcW w:w="6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428" w:rsidRPr="00ED708C" w:rsidRDefault="003C6428" w:rsidP="00ED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Реагент для иммунохимического определения Д-</w:t>
            </w:r>
            <w:proofErr w:type="spellStart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 xml:space="preserve"> в человеческой цитратной плазме. Используется для диагностики и исключения </w:t>
            </w:r>
            <w:r w:rsidRPr="00ED708C">
              <w:rPr>
                <w:rFonts w:ascii="Times New Roman" w:hAnsi="Times New Roman" w:cs="Times New Roman"/>
                <w:sz w:val="24"/>
                <w:szCs w:val="24"/>
              </w:rPr>
              <w:br/>
              <w:t>(совместно с общеклинической оценкой вероятности заболевания) венозные тромбоэмболии (тромбоз глубоких вен и легочной эмболии), для диагностики ДВС, а также для контроля длительности терапии оральными АК. Реагент имеет подтверждение FDA для исключения диагнозов ТГВ и ТЭЛА. Пороговом значении Д-</w:t>
            </w:r>
            <w:proofErr w:type="spellStart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 xml:space="preserve"> = 500 </w:t>
            </w:r>
            <w:proofErr w:type="spellStart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 xml:space="preserve">/мл. Форма выпуска: </w:t>
            </w:r>
            <w:proofErr w:type="spellStart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 xml:space="preserve">. Метод определения: нефелометрия или </w:t>
            </w:r>
            <w:proofErr w:type="spellStart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турбидиметрия</w:t>
            </w:r>
            <w:proofErr w:type="spellEnd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. Поставляется в картонных упаковках (</w:t>
            </w:r>
            <w:proofErr w:type="spellStart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 xml:space="preserve">.: 5 </w:t>
            </w:r>
            <w:proofErr w:type="spellStart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 xml:space="preserve">. по 1 </w:t>
            </w:r>
            <w:proofErr w:type="gramStart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мл  +</w:t>
            </w:r>
            <w:proofErr w:type="gramEnd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 xml:space="preserve">. по 1 мл). Температура хранения +2 +8 </w:t>
            </w:r>
            <w:proofErr w:type="gramStart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C .</w:t>
            </w:r>
            <w:proofErr w:type="gramEnd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Производитель: </w:t>
            </w:r>
            <w:proofErr w:type="spellStart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Instrumentation</w:t>
            </w:r>
            <w:proofErr w:type="spellEnd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proofErr w:type="spellEnd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 xml:space="preserve"> S.P.A, США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28" w:rsidRPr="00ED708C" w:rsidRDefault="003C6428" w:rsidP="00E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28" w:rsidRPr="00ED708C" w:rsidRDefault="003C6428" w:rsidP="00E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28" w:rsidRPr="00ED708C" w:rsidRDefault="003C6428" w:rsidP="00E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249 300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3C6428" w:rsidRPr="00ED708C" w:rsidRDefault="003C6428" w:rsidP="00ED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498600</w:t>
            </w:r>
          </w:p>
        </w:tc>
      </w:tr>
      <w:tr w:rsidR="00903402" w:rsidRPr="00ED708C" w:rsidTr="00903402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903402" w:rsidRPr="00ED708C" w:rsidRDefault="00903402" w:rsidP="006A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02" w:rsidRPr="006A4C23" w:rsidRDefault="00903402" w:rsidP="006A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Контроль Д-</w:t>
            </w:r>
            <w:proofErr w:type="spellStart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HemosIL</w:t>
            </w:r>
            <w:proofErr w:type="spellEnd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  <w:proofErr w:type="spellEnd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 xml:space="preserve">.: 5 </w:t>
            </w:r>
            <w:proofErr w:type="spellStart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 xml:space="preserve">. по 1 мл  + 5 </w:t>
            </w:r>
            <w:proofErr w:type="spellStart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 xml:space="preserve">. по 1 мл) из комплекта  Анализатор автоматический </w:t>
            </w:r>
            <w:proofErr w:type="spellStart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коагулометрический</w:t>
            </w:r>
            <w:proofErr w:type="spellEnd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 xml:space="preserve"> для диагностики </w:t>
            </w:r>
            <w:proofErr w:type="spellStart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 xml:space="preserve"> ACL </w:t>
            </w:r>
            <w:proofErr w:type="spellStart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TOP,модификации</w:t>
            </w:r>
            <w:proofErr w:type="spellEnd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: ACLTOP350 CTS, ACLTOP550 CTS, ACLTOP 750, ACLTOP750 CTS, ACLTOP750 LAS +2 +8 С (</w:t>
            </w:r>
            <w:proofErr w:type="spellStart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Biokit</w:t>
            </w:r>
            <w:proofErr w:type="spellEnd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 xml:space="preserve"> S.A., ИСПАНИЯ )</w:t>
            </w:r>
          </w:p>
        </w:tc>
        <w:tc>
          <w:tcPr>
            <w:tcW w:w="6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02" w:rsidRPr="006A4C23" w:rsidRDefault="00903402" w:rsidP="006A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материал предназначен для оценки </w:t>
            </w:r>
            <w:proofErr w:type="spellStart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воспроизводимости</w:t>
            </w:r>
            <w:proofErr w:type="spellEnd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 xml:space="preserve"> и точности методики определения д-</w:t>
            </w:r>
            <w:proofErr w:type="spellStart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 xml:space="preserve"> на пограничных уровнях. Форма выпуска: жидкая, готовая к применению. Метод определения: нефелометрия и </w:t>
            </w:r>
            <w:proofErr w:type="spellStart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турбидиметрия</w:t>
            </w:r>
            <w:proofErr w:type="spellEnd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. Поставляется в картонных упаковках (</w:t>
            </w:r>
            <w:proofErr w:type="spellStart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 xml:space="preserve">.: 5 </w:t>
            </w:r>
            <w:proofErr w:type="spellStart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 xml:space="preserve">. по 1 мл + 5 </w:t>
            </w:r>
            <w:proofErr w:type="spellStart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 xml:space="preserve">. по 1 мл). Температура хранения +2 +8 </w:t>
            </w:r>
            <w:proofErr w:type="gramStart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C .</w:t>
            </w:r>
            <w:proofErr w:type="gramEnd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Производитель: </w:t>
            </w:r>
            <w:proofErr w:type="spellStart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Instrumentation</w:t>
            </w:r>
            <w:proofErr w:type="spellEnd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proofErr w:type="spellEnd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 xml:space="preserve"> S.P.A, США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02" w:rsidRPr="006A4C23" w:rsidRDefault="00903402" w:rsidP="006A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02" w:rsidRPr="006A4C23" w:rsidRDefault="00903402" w:rsidP="006A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02" w:rsidRPr="006A4C23" w:rsidRDefault="00903402" w:rsidP="006A4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23"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  <w:r w:rsidR="006A4C23" w:rsidRPr="006A4C2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903402" w:rsidRPr="00ED708C" w:rsidRDefault="006A4C23" w:rsidP="006A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121 550</w:t>
            </w:r>
          </w:p>
        </w:tc>
      </w:tr>
      <w:tr w:rsidR="00903402" w:rsidRPr="00ED708C" w:rsidTr="00ED708C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903402" w:rsidRPr="00ED708C" w:rsidRDefault="00903402" w:rsidP="0090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2"/>
              <w:gridCol w:w="236"/>
            </w:tblGrid>
            <w:tr w:rsidR="00903402" w:rsidRPr="00ED708C" w:rsidTr="00ED708C">
              <w:trPr>
                <w:trHeight w:val="217"/>
              </w:trPr>
              <w:tc>
                <w:tcPr>
                  <w:tcW w:w="3892" w:type="dxa"/>
                </w:tcPr>
                <w:p w:rsidR="00903402" w:rsidRPr="00ED708C" w:rsidRDefault="00903402" w:rsidP="00903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D7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Ферритин</w:t>
                  </w:r>
                  <w:proofErr w:type="spellEnd"/>
                  <w:r w:rsidRPr="00ED7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R1: 2х18 мл+ R2: 2х10 мл арт 105-006175-00</w:t>
                  </w:r>
                </w:p>
              </w:tc>
              <w:tc>
                <w:tcPr>
                  <w:tcW w:w="222" w:type="dxa"/>
                </w:tcPr>
                <w:p w:rsidR="00903402" w:rsidRPr="00ED708C" w:rsidRDefault="00903402" w:rsidP="00903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3402" w:rsidRPr="00ED708C" w:rsidRDefault="00903402" w:rsidP="0090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7"/>
              <w:gridCol w:w="236"/>
            </w:tblGrid>
            <w:tr w:rsidR="00903402" w:rsidRPr="00ED708C" w:rsidTr="00ED708C">
              <w:trPr>
                <w:trHeight w:val="217"/>
              </w:trPr>
              <w:tc>
                <w:tcPr>
                  <w:tcW w:w="4427" w:type="dxa"/>
                </w:tcPr>
                <w:p w:rsidR="00903402" w:rsidRPr="00ED708C" w:rsidRDefault="00903402" w:rsidP="00903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7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Ферритин</w:t>
                  </w:r>
                  <w:proofErr w:type="spellEnd"/>
                  <w:r w:rsidRPr="00ED7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R1: 2х18 мл+ R2: 2х10 мл арт 105-006175-00</w:t>
                  </w:r>
                </w:p>
              </w:tc>
              <w:tc>
                <w:tcPr>
                  <w:tcW w:w="222" w:type="dxa"/>
                </w:tcPr>
                <w:p w:rsidR="00903402" w:rsidRPr="00ED708C" w:rsidRDefault="00903402" w:rsidP="009034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3402" w:rsidRPr="00ED708C" w:rsidRDefault="00903402" w:rsidP="0090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02" w:rsidRPr="00ED708C" w:rsidRDefault="00903402" w:rsidP="0090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02" w:rsidRPr="00ED708C" w:rsidRDefault="00903402" w:rsidP="0090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02" w:rsidRPr="00ED708C" w:rsidRDefault="00903402" w:rsidP="0090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08C">
              <w:rPr>
                <w:rFonts w:ascii="Times New Roman" w:hAnsi="Times New Roman" w:cs="Times New Roman"/>
                <w:sz w:val="24"/>
                <w:szCs w:val="24"/>
              </w:rPr>
              <w:t>241 900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903402" w:rsidRPr="00ED708C" w:rsidRDefault="00903402" w:rsidP="0090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483800</w:t>
            </w:r>
          </w:p>
        </w:tc>
      </w:tr>
      <w:tr w:rsidR="00903402" w:rsidRPr="00ED708C" w:rsidTr="00ED708C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903402" w:rsidRPr="00ED708C" w:rsidRDefault="00903402" w:rsidP="0090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  <w:gridSpan w:val="2"/>
            <w:shd w:val="clear" w:color="auto" w:fill="auto"/>
            <w:noWrap/>
            <w:vAlign w:val="bottom"/>
          </w:tcPr>
          <w:p w:rsidR="00903402" w:rsidRPr="00ED708C" w:rsidRDefault="00903402" w:rsidP="0090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Лактатдегидрогеназа</w:t>
            </w:r>
            <w:proofErr w:type="spellEnd"/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(LDH) / (ЛДГ) (4*35ml+2*18ml) артикул: 105-000818-00 Mindray</w:t>
            </w:r>
          </w:p>
        </w:tc>
        <w:tc>
          <w:tcPr>
            <w:tcW w:w="4865" w:type="dxa"/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49"/>
            </w:tblGrid>
            <w:tr w:rsidR="00903402" w:rsidRPr="00ED708C" w:rsidTr="00ED708C">
              <w:trPr>
                <w:trHeight w:val="217"/>
              </w:trPr>
              <w:tc>
                <w:tcPr>
                  <w:tcW w:w="4649" w:type="dxa"/>
                </w:tcPr>
                <w:p w:rsidR="00903402" w:rsidRPr="00ED708C" w:rsidRDefault="00903402" w:rsidP="00903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0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D70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Лактатдегидрогеназа</w:t>
                  </w:r>
                  <w:proofErr w:type="spellEnd"/>
                  <w:r w:rsidRPr="00ED70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(LDH) / (ЛДГ) (4*35ml+2*18ml) артикул: 105-000818-00 Mindray</w:t>
                  </w:r>
                </w:p>
              </w:tc>
            </w:tr>
          </w:tbl>
          <w:p w:rsidR="00903402" w:rsidRPr="00ED708C" w:rsidRDefault="00903402" w:rsidP="0090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903402" w:rsidRPr="00ED708C" w:rsidRDefault="00903402" w:rsidP="0090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903402" w:rsidRPr="00ED708C" w:rsidRDefault="00903402" w:rsidP="0090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903402" w:rsidRPr="00ED708C" w:rsidRDefault="00903402" w:rsidP="0090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31 200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903402" w:rsidRPr="00ED708C" w:rsidRDefault="00903402" w:rsidP="0090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62400</w:t>
            </w:r>
          </w:p>
        </w:tc>
      </w:tr>
      <w:tr w:rsidR="00903402" w:rsidRPr="00ED708C" w:rsidTr="00ED708C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903402" w:rsidRPr="00ED708C" w:rsidRDefault="00903402" w:rsidP="0090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0" w:type="dxa"/>
            <w:gridSpan w:val="2"/>
            <w:shd w:val="clear" w:color="auto" w:fill="auto"/>
            <w:noWrap/>
            <w:vAlign w:val="bottom"/>
          </w:tcPr>
          <w:p w:rsidR="00903402" w:rsidRPr="00ED708C" w:rsidRDefault="00903402" w:rsidP="0090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Креатинкиназа</w:t>
            </w:r>
            <w:proofErr w:type="spellEnd"/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(кинетический, УФ метод) СК </w:t>
            </w:r>
            <w:proofErr w:type="spellStart"/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kit</w:t>
            </w:r>
            <w:proofErr w:type="spellEnd"/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арт: 105-004615-00, Mindray</w:t>
            </w:r>
          </w:p>
        </w:tc>
        <w:tc>
          <w:tcPr>
            <w:tcW w:w="4865" w:type="dxa"/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18"/>
              <w:gridCol w:w="236"/>
            </w:tblGrid>
            <w:tr w:rsidR="00903402" w:rsidRPr="00ED708C" w:rsidTr="00ED708C">
              <w:trPr>
                <w:trHeight w:val="217"/>
              </w:trPr>
              <w:tc>
                <w:tcPr>
                  <w:tcW w:w="4418" w:type="dxa"/>
                </w:tcPr>
                <w:p w:rsidR="00903402" w:rsidRPr="00ED708C" w:rsidRDefault="00903402" w:rsidP="00903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0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D70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Креатинкиназа</w:t>
                  </w:r>
                  <w:proofErr w:type="spellEnd"/>
                  <w:r w:rsidRPr="00ED70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(кинетический, УФ метод) СК </w:t>
                  </w:r>
                  <w:proofErr w:type="spellStart"/>
                  <w:r w:rsidRPr="00ED70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kit</w:t>
                  </w:r>
                  <w:proofErr w:type="spellEnd"/>
                  <w:r w:rsidRPr="00ED70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арт: 105-004615-00, Mindray</w:t>
                  </w:r>
                </w:p>
              </w:tc>
              <w:tc>
                <w:tcPr>
                  <w:tcW w:w="231" w:type="dxa"/>
                </w:tcPr>
                <w:p w:rsidR="00903402" w:rsidRPr="00ED708C" w:rsidRDefault="00903402" w:rsidP="00903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3402" w:rsidRPr="00ED708C" w:rsidRDefault="00903402" w:rsidP="0090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903402" w:rsidRPr="00ED708C" w:rsidRDefault="00903402" w:rsidP="0090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903402" w:rsidRPr="00ED708C" w:rsidRDefault="00903402" w:rsidP="0090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903402" w:rsidRPr="00ED708C" w:rsidRDefault="00903402" w:rsidP="0090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40 200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903402" w:rsidRPr="00ED708C" w:rsidRDefault="00903402" w:rsidP="0090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80400</w:t>
            </w:r>
          </w:p>
        </w:tc>
      </w:tr>
      <w:tr w:rsidR="00903402" w:rsidRPr="00ED708C" w:rsidTr="00ED708C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903402" w:rsidRPr="00ED708C" w:rsidRDefault="00903402" w:rsidP="0090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0" w:type="dxa"/>
            <w:gridSpan w:val="2"/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2"/>
              <w:gridCol w:w="236"/>
            </w:tblGrid>
            <w:tr w:rsidR="00903402" w:rsidRPr="00ED708C" w:rsidTr="00ED708C">
              <w:trPr>
                <w:trHeight w:val="217"/>
              </w:trPr>
              <w:tc>
                <w:tcPr>
                  <w:tcW w:w="3892" w:type="dxa"/>
                </w:tcPr>
                <w:p w:rsidR="00903402" w:rsidRPr="00ED708C" w:rsidRDefault="00903402" w:rsidP="00903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0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Калибратор FER (</w:t>
                  </w:r>
                  <w:proofErr w:type="spellStart"/>
                  <w:r w:rsidRPr="00ED70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Ферритина</w:t>
                  </w:r>
                  <w:proofErr w:type="spellEnd"/>
                  <w:r w:rsidRPr="00ED70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1х4 </w:t>
                  </w:r>
                  <w:proofErr w:type="spellStart"/>
                  <w:r w:rsidRPr="00ED70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levels</w:t>
                  </w:r>
                  <w:proofErr w:type="spellEnd"/>
                  <w:r w:rsidRPr="00ED70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х2 мл арт 105-002311-00</w:t>
                  </w:r>
                </w:p>
              </w:tc>
              <w:tc>
                <w:tcPr>
                  <w:tcW w:w="222" w:type="dxa"/>
                </w:tcPr>
                <w:p w:rsidR="00903402" w:rsidRPr="00ED708C" w:rsidRDefault="00903402" w:rsidP="00903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3402" w:rsidRPr="00ED708C" w:rsidRDefault="00903402" w:rsidP="0090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7"/>
              <w:gridCol w:w="236"/>
            </w:tblGrid>
            <w:tr w:rsidR="00903402" w:rsidRPr="00ED708C" w:rsidTr="00ED708C">
              <w:trPr>
                <w:trHeight w:val="217"/>
              </w:trPr>
              <w:tc>
                <w:tcPr>
                  <w:tcW w:w="4427" w:type="dxa"/>
                </w:tcPr>
                <w:p w:rsidR="00903402" w:rsidRPr="00ED708C" w:rsidRDefault="00903402" w:rsidP="00903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0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Калибратор FER (</w:t>
                  </w:r>
                  <w:proofErr w:type="spellStart"/>
                  <w:r w:rsidRPr="00ED70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Ферритина</w:t>
                  </w:r>
                  <w:proofErr w:type="spellEnd"/>
                  <w:r w:rsidRPr="00ED70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 1х4 </w:t>
                  </w:r>
                  <w:proofErr w:type="spellStart"/>
                  <w:r w:rsidRPr="00ED70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levels</w:t>
                  </w:r>
                  <w:proofErr w:type="spellEnd"/>
                  <w:r w:rsidRPr="00ED70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х2 мл арт 105-002311-00</w:t>
                  </w:r>
                </w:p>
              </w:tc>
              <w:tc>
                <w:tcPr>
                  <w:tcW w:w="222" w:type="dxa"/>
                </w:tcPr>
                <w:p w:rsidR="00903402" w:rsidRPr="00ED708C" w:rsidRDefault="00903402" w:rsidP="00903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3402" w:rsidRPr="00ED708C" w:rsidRDefault="00903402" w:rsidP="0090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903402" w:rsidRPr="00ED708C" w:rsidRDefault="00903402" w:rsidP="0090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903402" w:rsidRPr="00ED708C" w:rsidRDefault="00903402" w:rsidP="0090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903402" w:rsidRPr="00ED708C" w:rsidRDefault="00903402" w:rsidP="0090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301 500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903402" w:rsidRPr="00ED708C" w:rsidRDefault="00903402" w:rsidP="0090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301500</w:t>
            </w:r>
          </w:p>
        </w:tc>
      </w:tr>
      <w:tr w:rsidR="00903402" w:rsidRPr="00ED708C" w:rsidTr="00ED708C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903402" w:rsidRPr="00ED708C" w:rsidRDefault="00903402" w:rsidP="0090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shd w:val="clear" w:color="auto" w:fill="auto"/>
            <w:noWrap/>
          </w:tcPr>
          <w:p w:rsidR="00903402" w:rsidRPr="00ED708C" w:rsidRDefault="00903402" w:rsidP="0090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gridSpan w:val="2"/>
            <w:shd w:val="clear" w:color="auto" w:fill="auto"/>
            <w:noWrap/>
          </w:tcPr>
          <w:p w:rsidR="00903402" w:rsidRPr="00ED708C" w:rsidRDefault="00903402" w:rsidP="0090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noWrap/>
          </w:tcPr>
          <w:p w:rsidR="00903402" w:rsidRPr="00ED708C" w:rsidRDefault="00903402" w:rsidP="0090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903402" w:rsidRPr="00ED708C" w:rsidRDefault="00903402" w:rsidP="0090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</w:tcPr>
          <w:p w:rsidR="00903402" w:rsidRPr="00ED708C" w:rsidRDefault="00903402" w:rsidP="0090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903402" w:rsidRPr="00ED708C" w:rsidRDefault="00903402" w:rsidP="006A4C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6A4C23"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4C2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82606" w:rsidRDefault="00C82606" w:rsidP="00BF7E1D">
      <w:pPr>
        <w:pStyle w:val="1"/>
        <w:jc w:val="both"/>
      </w:pPr>
    </w:p>
    <w:sectPr w:rsidR="00C82606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82606"/>
    <w:rsid w:val="000017AD"/>
    <w:rsid w:val="00007A72"/>
    <w:rsid w:val="00100C2A"/>
    <w:rsid w:val="001415B3"/>
    <w:rsid w:val="00146EB9"/>
    <w:rsid w:val="001716C5"/>
    <w:rsid w:val="001E4149"/>
    <w:rsid w:val="001E6428"/>
    <w:rsid w:val="001F1ECB"/>
    <w:rsid w:val="0021095F"/>
    <w:rsid w:val="002648CB"/>
    <w:rsid w:val="00285E05"/>
    <w:rsid w:val="002E5AC1"/>
    <w:rsid w:val="002F4616"/>
    <w:rsid w:val="0032722E"/>
    <w:rsid w:val="003308AA"/>
    <w:rsid w:val="0036024E"/>
    <w:rsid w:val="003A32C6"/>
    <w:rsid w:val="003C6428"/>
    <w:rsid w:val="00424BEB"/>
    <w:rsid w:val="004658E7"/>
    <w:rsid w:val="004A17EC"/>
    <w:rsid w:val="004D3DB4"/>
    <w:rsid w:val="00520307"/>
    <w:rsid w:val="005979BA"/>
    <w:rsid w:val="005A637E"/>
    <w:rsid w:val="005D6A3E"/>
    <w:rsid w:val="00680EC4"/>
    <w:rsid w:val="006A4C23"/>
    <w:rsid w:val="0072076D"/>
    <w:rsid w:val="00734ECF"/>
    <w:rsid w:val="007A6938"/>
    <w:rsid w:val="007D1B91"/>
    <w:rsid w:val="008624C6"/>
    <w:rsid w:val="0086514F"/>
    <w:rsid w:val="008C67DB"/>
    <w:rsid w:val="008D76E2"/>
    <w:rsid w:val="008F28DE"/>
    <w:rsid w:val="00903402"/>
    <w:rsid w:val="009A0870"/>
    <w:rsid w:val="009B6CDE"/>
    <w:rsid w:val="00AC3445"/>
    <w:rsid w:val="00B0797E"/>
    <w:rsid w:val="00B9013B"/>
    <w:rsid w:val="00BB303B"/>
    <w:rsid w:val="00BF7E1D"/>
    <w:rsid w:val="00C41295"/>
    <w:rsid w:val="00C82606"/>
    <w:rsid w:val="00C83C21"/>
    <w:rsid w:val="00C84685"/>
    <w:rsid w:val="00D30881"/>
    <w:rsid w:val="00D50E80"/>
    <w:rsid w:val="00D72D4F"/>
    <w:rsid w:val="00D97060"/>
    <w:rsid w:val="00DC1183"/>
    <w:rsid w:val="00DE5EB6"/>
    <w:rsid w:val="00E30A70"/>
    <w:rsid w:val="00E3718B"/>
    <w:rsid w:val="00EA28D0"/>
    <w:rsid w:val="00ED708C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7FA1"/>
  <w15:docId w15:val="{9830AA2E-E88B-4755-B2F2-10B99E1F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4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672CF-7A96-469D-B4F1-70793963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GZ</cp:lastModifiedBy>
  <cp:revision>13</cp:revision>
  <cp:lastPrinted>2021-02-03T12:23:00Z</cp:lastPrinted>
  <dcterms:created xsi:type="dcterms:W3CDTF">2021-01-14T06:19:00Z</dcterms:created>
  <dcterms:modified xsi:type="dcterms:W3CDTF">2021-04-02T10:38:00Z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