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06" w:rsidRDefault="00D97060" w:rsidP="00FE3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67DB">
        <w:rPr>
          <w:rFonts w:ascii="Times New Roman" w:hAnsi="Times New Roman" w:cs="Times New Roman"/>
          <w:b/>
          <w:sz w:val="24"/>
          <w:szCs w:val="24"/>
        </w:rPr>
        <w:t>медициналы</w:t>
      </w:r>
      <w:proofErr w:type="spellEnd"/>
      <w:r w:rsidR="008C67DB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тәсілімен</w:t>
      </w:r>
      <w:proofErr w:type="spellEnd"/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 Алматы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перзентхана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ШЖҚ МКК,  Алматы қ.,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</w:t>
      </w:r>
      <w:proofErr w:type="spellEnd"/>
      <w:r>
        <w:rPr>
          <w:rFonts w:ascii="Times New Roman" w:hAnsi="Times New Roman" w:cs="Times New Roman"/>
          <w:sz w:val="24"/>
          <w:szCs w:val="24"/>
        </w:rPr>
        <w:t>., 492.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(саны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нысаны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әлеуметтік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министрінің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қаңтардағы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№20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ұйрығымен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бекітілген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</w:p>
    <w:p w:rsidR="00C82606" w:rsidRPr="00424BEB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жеткізушілердің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492, бас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дәрігердің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бөлмесі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E5EB6">
        <w:rPr>
          <w:rFonts w:ascii="Times New Roman" w:hAnsi="Times New Roman" w:cs="Times New Roman"/>
          <w:b/>
          <w:sz w:val="24"/>
          <w:szCs w:val="24"/>
          <w:lang w:val="kk-KZ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E3525">
        <w:rPr>
          <w:rFonts w:ascii="Times New Roman" w:hAnsi="Times New Roman" w:cs="Times New Roman"/>
          <w:b/>
          <w:sz w:val="24"/>
          <w:szCs w:val="24"/>
        </w:rPr>
        <w:t>1</w:t>
      </w:r>
      <w:r w:rsidR="008D76E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ж. 09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525">
        <w:rPr>
          <w:rFonts w:ascii="Times New Roman" w:hAnsi="Times New Roman" w:cs="Times New Roman"/>
          <w:b/>
          <w:sz w:val="24"/>
          <w:szCs w:val="24"/>
        </w:rPr>
        <w:t>1</w:t>
      </w:r>
      <w:r w:rsidR="00DE5EB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D76E2">
        <w:rPr>
          <w:rFonts w:ascii="Times New Roman" w:hAnsi="Times New Roman" w:cs="Times New Roman"/>
          <w:b/>
          <w:sz w:val="24"/>
          <w:szCs w:val="24"/>
        </w:rPr>
        <w:t>1</w:t>
      </w:r>
      <w:r w:rsidR="0086514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ж.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демалыс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күндері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түскі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үзілісті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қоспағанда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желімделген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рәсімдері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арқылы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* 4-тарауында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жеткізушінің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телефоны,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көрсетушілерінің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тауарларды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алулардың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7-тармағының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тіркелмейді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қайтарылады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аяқталған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қорытындылар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www.roddom01.kz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өкілі</w:t>
      </w:r>
      <w:proofErr w:type="spellEnd"/>
      <w:r>
        <w:rPr>
          <w:rFonts w:ascii="Times New Roman" w:hAnsi="Times New Roman" w:cs="Times New Roman"/>
          <w:sz w:val="24"/>
          <w:szCs w:val="24"/>
        </w:rPr>
        <w:t>: Карибаев Б.Х. МС экономист-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тел: 292-11-75, эл.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zakup.roddom@mail.ru</w:t>
      </w:r>
    </w:p>
    <w:p w:rsidR="00C82606" w:rsidRDefault="00C826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2606" w:rsidRDefault="00D97060">
      <w:pPr>
        <w:pStyle w:val="1"/>
        <w:spacing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 </w:t>
      </w:r>
      <w:proofErr w:type="spellStart"/>
      <w:r>
        <w:rPr>
          <w:b w:val="0"/>
          <w:sz w:val="18"/>
          <w:szCs w:val="18"/>
        </w:rPr>
        <w:t>Қазақстан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Республикасы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Үкіметінің</w:t>
      </w:r>
      <w:proofErr w:type="spellEnd"/>
      <w:r>
        <w:rPr>
          <w:b w:val="0"/>
          <w:sz w:val="18"/>
          <w:szCs w:val="18"/>
        </w:rPr>
        <w:t xml:space="preserve"> 2009 </w:t>
      </w:r>
      <w:proofErr w:type="spellStart"/>
      <w:r>
        <w:rPr>
          <w:b w:val="0"/>
          <w:sz w:val="18"/>
          <w:szCs w:val="18"/>
        </w:rPr>
        <w:t>жылғы</w:t>
      </w:r>
      <w:proofErr w:type="spellEnd"/>
      <w:r>
        <w:rPr>
          <w:b w:val="0"/>
          <w:sz w:val="18"/>
          <w:szCs w:val="18"/>
        </w:rPr>
        <w:t xml:space="preserve"> 30 </w:t>
      </w:r>
      <w:proofErr w:type="spellStart"/>
      <w:r>
        <w:rPr>
          <w:b w:val="0"/>
          <w:sz w:val="18"/>
          <w:szCs w:val="18"/>
        </w:rPr>
        <w:t>қазандағы</w:t>
      </w:r>
      <w:proofErr w:type="spellEnd"/>
      <w:r>
        <w:rPr>
          <w:b w:val="0"/>
          <w:sz w:val="18"/>
          <w:szCs w:val="18"/>
        </w:rPr>
        <w:t xml:space="preserve"> N 1729 «</w:t>
      </w:r>
      <w:proofErr w:type="spellStart"/>
      <w:r>
        <w:rPr>
          <w:b w:val="0"/>
          <w:sz w:val="18"/>
          <w:szCs w:val="18"/>
        </w:rPr>
        <w:t>Қаулысы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Дәрілік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заттар</w:t>
      </w:r>
      <w:proofErr w:type="spellEnd"/>
      <w:r>
        <w:rPr>
          <w:b w:val="0"/>
          <w:sz w:val="18"/>
          <w:szCs w:val="18"/>
        </w:rPr>
        <w:t xml:space="preserve"> мен </w:t>
      </w:r>
      <w:proofErr w:type="spellStart"/>
      <w:r>
        <w:rPr>
          <w:b w:val="0"/>
          <w:sz w:val="18"/>
          <w:szCs w:val="18"/>
        </w:rPr>
        <w:t>медициналық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бұйымдарды</w:t>
      </w:r>
      <w:proofErr w:type="spellEnd"/>
      <w:r>
        <w:rPr>
          <w:b w:val="0"/>
          <w:sz w:val="18"/>
          <w:szCs w:val="18"/>
        </w:rPr>
        <w:t xml:space="preserve">, </w:t>
      </w:r>
      <w:proofErr w:type="spellStart"/>
      <w:r>
        <w:rPr>
          <w:b w:val="0"/>
          <w:sz w:val="18"/>
          <w:szCs w:val="18"/>
        </w:rPr>
        <w:t>фармацевтикалық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көрсетілетін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қызметтерді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сатып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алуды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ұйымдастыру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және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өткізу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қағидаларын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бекіту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туралы</w:t>
      </w:r>
      <w:proofErr w:type="spellEnd"/>
      <w:r>
        <w:rPr>
          <w:b w:val="0"/>
          <w:sz w:val="18"/>
          <w:szCs w:val="18"/>
        </w:rPr>
        <w:t>»</w:t>
      </w:r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18"/>
          <w:szCs w:val="18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Объявление об</w:t>
      </w:r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осуществлении закупа </w:t>
      </w:r>
      <w:r w:rsidR="008C67DB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медицинских изделий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способом запроса ценовых предложений 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ГКП на ПХВ «Городской родильный дом №1» Управления здравоохранения Алматы, г. Алматы, пр. Сейфуллина,492.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 лекарственных средств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 (количество и цена)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закупа лекарственных средств способом запроса ценовых предложений (далее – объявление) прилагаются перечень закупаемых лекарственных 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(Приложение №1 к объявлению), типовая форма ценового предложения (Приложение №2 к объявлению, утвержденная </w:t>
      </w:r>
      <w:r>
        <w:rPr>
          <w:rFonts w:ascii="Times New Roman" w:hAnsi="Times New Roman" w:cs="Times New Roman"/>
          <w:b/>
          <w:sz w:val="24"/>
          <w:szCs w:val="24"/>
        </w:rPr>
        <w:t>Приказом Министра здравоохранения и социального развития Республики Казахстан от 18 января 2017 года №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являются неотъемлемой частью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492, приемная главного врача, кабинет государственных закупок,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часов 00 минут </w:t>
      </w:r>
      <w:r w:rsidR="00DE5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D7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FE35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2020 г. до 13 часов 00 минут </w:t>
      </w:r>
      <w:r w:rsidR="00FE35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E5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9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</w:t>
      </w:r>
      <w:r w:rsidR="008D7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</w:t>
      </w:r>
      <w:r w:rsidR="00865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.2020 г. (режим работы с 09 часов 00 минут до 18 часов 00 минут за исключением выходных дней и обеденного перерыва с 13 часов 00 минут до 14 часов 00 минут).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82606" w:rsidRDefault="00D97060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Правил*.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На лицевой стороне запечатанного конверта с ценовым предложением потенциальный поставщик указывает: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поставщика; наименование, адрес местонахождения организатора закупок; наименование закупок товаров для участия в которых предоставляется ценовое предложение потенциального поставщика.</w:t>
      </w:r>
    </w:p>
    <w:p w:rsidR="00C82606" w:rsidRDefault="00D97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Конверт с ценовым предложением, предоставленный после истечения установленного срока и/или с нарушением требований пункта 7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 Протокол размещается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01.kz</w:t>
      </w:r>
    </w:p>
    <w:p w:rsidR="00C82606" w:rsidRDefault="00D97060">
      <w:pPr>
        <w:shd w:val="clear" w:color="auto" w:fill="FCFCFC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Уполномоченный представитель организатора закупок: Карибаев Б.Х. экономист-специалист ГЗ тел: 292-11-75, эл. адрес: </w:t>
      </w:r>
      <w:r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7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</w:t>
      </w:r>
    </w:p>
    <w:p w:rsidR="00C82606" w:rsidRDefault="00C82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82606" w:rsidRDefault="00D9706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№ 1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осымша</w:t>
      </w:r>
      <w:proofErr w:type="spellEnd"/>
      <w:r>
        <w:rPr>
          <w:rFonts w:ascii="Times New Roman" w:hAnsi="Times New Roman" w:cs="Times New Roman"/>
          <w:lang w:val="kk-KZ"/>
        </w:rPr>
        <w:t>/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№1</w:t>
      </w:r>
    </w:p>
    <w:p w:rsidR="00C82606" w:rsidRDefault="00D9706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алынатын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7DB">
        <w:rPr>
          <w:rFonts w:ascii="Times New Roman" w:hAnsi="Times New Roman" w:cs="Times New Roman"/>
          <w:b/>
          <w:sz w:val="28"/>
          <w:szCs w:val="28"/>
          <w:lang w:val="kk-KZ"/>
        </w:rPr>
        <w:t>медициналық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заттардың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ізбесі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еречень закупаемых </w:t>
      </w:r>
      <w:r w:rsidR="00327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медицинских изделий </w:t>
      </w:r>
    </w:p>
    <w:tbl>
      <w:tblPr>
        <w:tblStyle w:val="71"/>
        <w:tblW w:w="15417" w:type="dxa"/>
        <w:tblLook w:val="04A0" w:firstRow="1" w:lastRow="0" w:firstColumn="1" w:lastColumn="0" w:noHBand="0" w:noVBand="1"/>
      </w:tblPr>
      <w:tblGrid>
        <w:gridCol w:w="1268"/>
        <w:gridCol w:w="2950"/>
        <w:gridCol w:w="7145"/>
        <w:gridCol w:w="993"/>
        <w:gridCol w:w="850"/>
        <w:gridCol w:w="936"/>
        <w:gridCol w:w="1275"/>
      </w:tblGrid>
      <w:tr w:rsidR="00FE3525" w:rsidRPr="00680EC4" w:rsidTr="00285E05">
        <w:trPr>
          <w:trHeight w:val="300"/>
        </w:trPr>
        <w:tc>
          <w:tcPr>
            <w:tcW w:w="1268" w:type="dxa"/>
          </w:tcPr>
          <w:p w:rsidR="00FE3525" w:rsidRPr="00680EC4" w:rsidRDefault="00FE3525" w:rsidP="00680E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0E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0" w:type="dxa"/>
            <w:noWrap/>
            <w:vAlign w:val="center"/>
          </w:tcPr>
          <w:p w:rsidR="00FE3525" w:rsidRPr="00680EC4" w:rsidRDefault="00FE3525" w:rsidP="00680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EC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145" w:type="dxa"/>
          </w:tcPr>
          <w:p w:rsidR="00FE3525" w:rsidRPr="00680EC4" w:rsidRDefault="00FE3525" w:rsidP="00FE35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Краткая техническая характеристика</w:t>
            </w:r>
          </w:p>
        </w:tc>
        <w:tc>
          <w:tcPr>
            <w:tcW w:w="993" w:type="dxa"/>
            <w:noWrap/>
            <w:vAlign w:val="center"/>
          </w:tcPr>
          <w:p w:rsidR="00FE3525" w:rsidRPr="00680EC4" w:rsidRDefault="00FE3525" w:rsidP="00680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EC4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noWrap/>
            <w:vAlign w:val="center"/>
          </w:tcPr>
          <w:p w:rsidR="00FE3525" w:rsidRPr="00680EC4" w:rsidRDefault="00FE3525" w:rsidP="00680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EC4">
              <w:rPr>
                <w:rFonts w:ascii="Times New Roman" w:hAnsi="Times New Roman"/>
                <w:b/>
                <w:sz w:val="24"/>
                <w:szCs w:val="24"/>
              </w:rPr>
              <w:t>Кол-во.</w:t>
            </w:r>
          </w:p>
        </w:tc>
        <w:tc>
          <w:tcPr>
            <w:tcW w:w="936" w:type="dxa"/>
            <w:noWrap/>
            <w:vAlign w:val="center"/>
          </w:tcPr>
          <w:p w:rsidR="00FE3525" w:rsidRPr="00680EC4" w:rsidRDefault="00FE3525" w:rsidP="00680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EC4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275" w:type="dxa"/>
            <w:noWrap/>
            <w:vAlign w:val="center"/>
          </w:tcPr>
          <w:p w:rsidR="00FE3525" w:rsidRPr="00680EC4" w:rsidRDefault="00FE3525" w:rsidP="00680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EC4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E3718B" w:rsidRPr="00680EC4" w:rsidTr="00285E05">
        <w:trPr>
          <w:trHeight w:val="300"/>
        </w:trPr>
        <w:tc>
          <w:tcPr>
            <w:tcW w:w="1268" w:type="dxa"/>
            <w:vAlign w:val="center"/>
          </w:tcPr>
          <w:p w:rsidR="00E3718B" w:rsidRPr="00680EC4" w:rsidRDefault="00DE5EB6" w:rsidP="00E37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18B" w:rsidRPr="00680EC4" w:rsidRDefault="00E3718B" w:rsidP="00E371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718B">
              <w:rPr>
                <w:rFonts w:ascii="Times New Roman" w:hAnsi="Times New Roman"/>
                <w:color w:val="000000"/>
                <w:sz w:val="24"/>
                <w:szCs w:val="24"/>
              </w:rPr>
              <w:t>Гелевая</w:t>
            </w:r>
            <w:proofErr w:type="spellEnd"/>
            <w:r w:rsidRPr="00E37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карта для определения группы крови АВО прямым и перекрестным методом и резус-фактора </w:t>
            </w:r>
          </w:p>
        </w:tc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18B" w:rsidRPr="00680EC4" w:rsidRDefault="00E3718B" w:rsidP="00E371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718B">
              <w:rPr>
                <w:rFonts w:ascii="Times New Roman" w:hAnsi="Times New Roman"/>
                <w:color w:val="000000"/>
                <w:sz w:val="24"/>
                <w:szCs w:val="24"/>
              </w:rPr>
              <w:t>Гелевая</w:t>
            </w:r>
            <w:proofErr w:type="spellEnd"/>
            <w:r w:rsidRPr="00E37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карта </w:t>
            </w:r>
            <w:proofErr w:type="spellStart"/>
            <w:r w:rsidRPr="00E3718B">
              <w:rPr>
                <w:rFonts w:ascii="Times New Roman" w:hAnsi="Times New Roman"/>
                <w:color w:val="000000"/>
                <w:sz w:val="24"/>
                <w:szCs w:val="24"/>
              </w:rPr>
              <w:t>Акросс</w:t>
            </w:r>
            <w:proofErr w:type="spellEnd"/>
            <w:r w:rsidRPr="00E37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определения группы крови АВО прямым и перекрестным методом и резус-фактора DVI-/DVI+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упаковке 50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18B" w:rsidRPr="00680EC4" w:rsidRDefault="00E3718B" w:rsidP="00E371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18B" w:rsidRPr="00680EC4" w:rsidRDefault="00C41295" w:rsidP="00E371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18B" w:rsidRPr="00680EC4" w:rsidRDefault="00E3718B" w:rsidP="00E371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18B" w:rsidRPr="00680EC4" w:rsidRDefault="00C41295" w:rsidP="00E3718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  <w:r w:rsidR="00B0797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E3718B" w:rsidRPr="00680EC4" w:rsidTr="00285E05">
        <w:trPr>
          <w:trHeight w:val="300"/>
        </w:trPr>
        <w:tc>
          <w:tcPr>
            <w:tcW w:w="1268" w:type="dxa"/>
            <w:vAlign w:val="center"/>
          </w:tcPr>
          <w:p w:rsidR="00E3718B" w:rsidRPr="00680EC4" w:rsidRDefault="00DE5EB6" w:rsidP="00E37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18B" w:rsidRPr="0086514F" w:rsidRDefault="00E3718B" w:rsidP="00E371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718B">
              <w:rPr>
                <w:rFonts w:ascii="Times New Roman" w:hAnsi="Times New Roman"/>
                <w:color w:val="000000"/>
                <w:sz w:val="24"/>
                <w:szCs w:val="24"/>
              </w:rPr>
              <w:t>Гелевая</w:t>
            </w:r>
            <w:proofErr w:type="spellEnd"/>
            <w:r w:rsidRPr="00E37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карта для проведения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прямой и непрямой пробы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Кумбса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18B" w:rsidRPr="0086514F" w:rsidRDefault="00E3718B" w:rsidP="00E371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718B">
              <w:rPr>
                <w:rFonts w:ascii="Times New Roman" w:hAnsi="Times New Roman"/>
                <w:color w:val="000000"/>
                <w:sz w:val="24"/>
                <w:szCs w:val="24"/>
              </w:rPr>
              <w:t>Гелевая</w:t>
            </w:r>
            <w:proofErr w:type="spellEnd"/>
            <w:r w:rsidRPr="00E37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карта </w:t>
            </w:r>
            <w:proofErr w:type="spellStart"/>
            <w:r w:rsidRPr="00E3718B">
              <w:rPr>
                <w:rFonts w:ascii="Times New Roman" w:hAnsi="Times New Roman"/>
                <w:color w:val="000000"/>
                <w:sz w:val="24"/>
                <w:szCs w:val="24"/>
              </w:rPr>
              <w:t>Акросс</w:t>
            </w:r>
            <w:proofErr w:type="spellEnd"/>
            <w:r w:rsidRPr="00E37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проведения прямой и непрямой пробы </w:t>
            </w:r>
            <w:proofErr w:type="spellStart"/>
            <w:r w:rsidRPr="00E3718B">
              <w:rPr>
                <w:rFonts w:ascii="Times New Roman" w:hAnsi="Times New Roman"/>
                <w:color w:val="000000"/>
                <w:sz w:val="24"/>
                <w:szCs w:val="24"/>
              </w:rPr>
              <w:t>Кумбса</w:t>
            </w:r>
            <w:proofErr w:type="spellEnd"/>
            <w:r w:rsidRPr="00E37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(IgG+C3d)</w:t>
            </w:r>
            <w:r>
              <w:t xml:space="preserve"> </w:t>
            </w:r>
            <w:r w:rsidRPr="00E37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упаковке 50 </w:t>
            </w:r>
            <w:proofErr w:type="spellStart"/>
            <w:r w:rsidRPr="00E3718B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18B" w:rsidRPr="0086514F" w:rsidRDefault="00E3718B" w:rsidP="00E371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18B" w:rsidRPr="00680EC4" w:rsidRDefault="00C41295" w:rsidP="00E371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18B" w:rsidRPr="00680EC4" w:rsidRDefault="00E3718B" w:rsidP="00E37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18B" w:rsidRPr="00680EC4" w:rsidRDefault="00C41295" w:rsidP="00E3718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B0797E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E3718B" w:rsidRPr="00680EC4" w:rsidTr="00285E05">
        <w:trPr>
          <w:trHeight w:val="300"/>
        </w:trPr>
        <w:tc>
          <w:tcPr>
            <w:tcW w:w="1268" w:type="dxa"/>
            <w:vAlign w:val="center"/>
          </w:tcPr>
          <w:p w:rsidR="00E3718B" w:rsidRDefault="00E3718B" w:rsidP="00E37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18B" w:rsidRPr="00ED75EB" w:rsidRDefault="00E3718B" w:rsidP="00E371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</w:tcPr>
          <w:p w:rsidR="00E3718B" w:rsidRPr="0086514F" w:rsidRDefault="00E3718B" w:rsidP="00E3718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noWrap/>
            <w:vAlign w:val="center"/>
          </w:tcPr>
          <w:p w:rsidR="00E3718B" w:rsidRPr="0086514F" w:rsidRDefault="00E3718B" w:rsidP="00E3718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noWrap/>
            <w:vAlign w:val="center"/>
          </w:tcPr>
          <w:p w:rsidR="00E3718B" w:rsidRPr="0086514F" w:rsidRDefault="00E3718B" w:rsidP="00E3718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6" w:type="dxa"/>
            <w:noWrap/>
            <w:vAlign w:val="center"/>
          </w:tcPr>
          <w:p w:rsidR="00E3718B" w:rsidRPr="0086514F" w:rsidRDefault="00E3718B" w:rsidP="00E3718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  <w:vAlign w:val="center"/>
          </w:tcPr>
          <w:p w:rsidR="00E3718B" w:rsidRPr="0086514F" w:rsidRDefault="005D6A3E" w:rsidP="00E3718B">
            <w:pPr>
              <w:suppressAutoHyphens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794000</w:t>
            </w:r>
            <w:bookmarkStart w:id="0" w:name="_GoBack"/>
            <w:bookmarkEnd w:id="0"/>
          </w:p>
        </w:tc>
      </w:tr>
    </w:tbl>
    <w:p w:rsidR="00680EC4" w:rsidRDefault="00680EC4" w:rsidP="00680EC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2606" w:rsidRDefault="00C82606" w:rsidP="00BF7E1D">
      <w:pPr>
        <w:pStyle w:val="1"/>
        <w:jc w:val="both"/>
      </w:pPr>
    </w:p>
    <w:sectPr w:rsidR="00C82606" w:rsidSect="00FE3525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606"/>
    <w:rsid w:val="001415B3"/>
    <w:rsid w:val="00146EB9"/>
    <w:rsid w:val="001716C5"/>
    <w:rsid w:val="001E4149"/>
    <w:rsid w:val="00285E05"/>
    <w:rsid w:val="0032722E"/>
    <w:rsid w:val="003308AA"/>
    <w:rsid w:val="0036024E"/>
    <w:rsid w:val="003A32C6"/>
    <w:rsid w:val="00424BEB"/>
    <w:rsid w:val="004D3DB4"/>
    <w:rsid w:val="00520307"/>
    <w:rsid w:val="005D6A3E"/>
    <w:rsid w:val="00680EC4"/>
    <w:rsid w:val="0072076D"/>
    <w:rsid w:val="00734ECF"/>
    <w:rsid w:val="007A6938"/>
    <w:rsid w:val="008624C6"/>
    <w:rsid w:val="0086514F"/>
    <w:rsid w:val="008C67DB"/>
    <w:rsid w:val="008D76E2"/>
    <w:rsid w:val="009B6CDE"/>
    <w:rsid w:val="00B0797E"/>
    <w:rsid w:val="00BB303B"/>
    <w:rsid w:val="00BF7E1D"/>
    <w:rsid w:val="00C41295"/>
    <w:rsid w:val="00C82606"/>
    <w:rsid w:val="00C83C21"/>
    <w:rsid w:val="00C84685"/>
    <w:rsid w:val="00D50E80"/>
    <w:rsid w:val="00D97060"/>
    <w:rsid w:val="00DC1183"/>
    <w:rsid w:val="00DE5EB6"/>
    <w:rsid w:val="00E3718B"/>
    <w:rsid w:val="00EA28D0"/>
    <w:rsid w:val="00ED75EB"/>
    <w:rsid w:val="00EF538B"/>
    <w:rsid w:val="00EF59B8"/>
    <w:rsid w:val="00F837F1"/>
    <w:rsid w:val="00F90304"/>
    <w:rsid w:val="00F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90BE"/>
  <w15:docId w15:val="{E4C0D7C3-85BE-44CB-827E-97305172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E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416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7757D"/>
    <w:rPr>
      <w:rFonts w:ascii="Consolas" w:hAnsi="Consolas" w:cs="Consolas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50D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27D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162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8">
    <w:name w:val="Balloon Text"/>
    <w:basedOn w:val="a"/>
    <w:uiPriority w:val="99"/>
    <w:semiHidden/>
    <w:unhideWhenUsed/>
    <w:qFormat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4162C"/>
    <w:pPr>
      <w:ind w:left="720"/>
      <w:contextualSpacing/>
    </w:pPr>
  </w:style>
  <w:style w:type="table" w:styleId="aa">
    <w:name w:val="Table Grid"/>
    <w:basedOn w:val="a1"/>
    <w:uiPriority w:val="39"/>
    <w:rsid w:val="00D8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B4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a"/>
    <w:uiPriority w:val="39"/>
    <w:rsid w:val="00680EC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.rodd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ddom01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73F4C-71BC-46A0-B27B-76EA362C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dc:description/>
  <cp:lastModifiedBy>GZ</cp:lastModifiedBy>
  <cp:revision>43</cp:revision>
  <cp:lastPrinted>2020-11-12T13:59:00Z</cp:lastPrinted>
  <dcterms:created xsi:type="dcterms:W3CDTF">2020-06-22T04:38:00Z</dcterms:created>
  <dcterms:modified xsi:type="dcterms:W3CDTF">2020-11-12T13:59:00Z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