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4DC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5C4DC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4E86">
        <w:rPr>
          <w:rFonts w:ascii="Times New Roman" w:hAnsi="Times New Roman" w:cs="Times New Roman"/>
          <w:b/>
          <w:sz w:val="24"/>
          <w:szCs w:val="24"/>
        </w:rPr>
        <w:t>8</w:t>
      </w:r>
      <w:r w:rsidR="00532B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32B5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532B58">
        <w:rPr>
          <w:rFonts w:ascii="Times New Roman" w:hAnsi="Times New Roman" w:cs="Times New Roman"/>
          <w:b/>
          <w:sz w:val="24"/>
          <w:szCs w:val="24"/>
        </w:rPr>
        <w:t xml:space="preserve">ж. 09 </w:t>
      </w:r>
      <w:proofErr w:type="spellStart"/>
      <w:r w:rsidR="00532B58"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 w:rsidR="00532B58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="00532B58"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 w:rsidR="00532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2B58"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 w:rsidR="00532B5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84E8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532B5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ж.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>Объявление об</w:t>
      </w: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 w:rsidR="005C4DC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медицинских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88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532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9.2020 г. до 13 часов 00 минут 1</w:t>
      </w:r>
      <w:r w:rsidR="00884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532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.2020 г. (режим работы с 09 часов 00 минут до 18 часов 00 минут за исключением выходных дней и обеденного перерыва с 13 часов 00 минут до 14 часов 00 минут).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a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Уполномоченный представитель организатора закупок: Карибаев Б.Х. экономист-специалист ГЗ тел: 292-11-75, эл.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  <w:proofErr w:type="gramEnd"/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C4DCB" w:rsidRDefault="005C4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C4DCB" w:rsidRDefault="005C4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DC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5C4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медицинских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средств*</w:t>
      </w:r>
    </w:p>
    <w:tbl>
      <w:tblPr>
        <w:tblStyle w:val="7"/>
        <w:tblW w:w="9946" w:type="dxa"/>
        <w:tblLook w:val="04A0" w:firstRow="1" w:lastRow="0" w:firstColumn="1" w:lastColumn="0" w:noHBand="0" w:noVBand="1"/>
      </w:tblPr>
      <w:tblGrid>
        <w:gridCol w:w="560"/>
        <w:gridCol w:w="2530"/>
        <w:gridCol w:w="3060"/>
        <w:gridCol w:w="719"/>
        <w:gridCol w:w="725"/>
        <w:gridCol w:w="996"/>
        <w:gridCol w:w="1356"/>
      </w:tblGrid>
      <w:tr w:rsidR="00C82606" w:rsidTr="008F061C">
        <w:trPr>
          <w:trHeight w:val="300"/>
        </w:trPr>
        <w:tc>
          <w:tcPr>
            <w:tcW w:w="560" w:type="dxa"/>
            <w:shd w:val="clear" w:color="auto" w:fill="auto"/>
          </w:tcPr>
          <w:p w:rsidR="00C82606" w:rsidRDefault="00D970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C82606" w:rsidRDefault="008F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2606" w:rsidRDefault="008F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в ед.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за ед., тенге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Сумма, тенге</w:t>
            </w:r>
          </w:p>
        </w:tc>
      </w:tr>
      <w:tr w:rsidR="00C82606" w:rsidTr="008F061C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C82606" w:rsidRDefault="008F061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Фильтр одноразовый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2606" w:rsidRDefault="008F06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F061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M1004132 Фильтр одноразовый HMEF 750/S с портом для отбора газов 50 </w:t>
            </w:r>
            <w:proofErr w:type="spellStart"/>
            <w:r w:rsidRPr="008F061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шт</w:t>
            </w:r>
            <w:proofErr w:type="spellEnd"/>
            <w:r w:rsidRPr="008F061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8F061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уп</w:t>
            </w:r>
            <w:proofErr w:type="spellEnd"/>
            <w:r w:rsidRPr="008F061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(для ИВЛ </w:t>
            </w:r>
            <w:proofErr w:type="spellStart"/>
            <w:r w:rsidRPr="008F061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Care</w:t>
            </w:r>
            <w:proofErr w:type="spellEnd"/>
            <w:r w:rsidRPr="008F061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F061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Fusion</w:t>
            </w:r>
            <w:proofErr w:type="spellEnd"/>
            <w:r w:rsidRPr="008F061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82606" w:rsidRDefault="008F0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C82606" w:rsidRDefault="008F0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82606" w:rsidRDefault="008F0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200000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82606" w:rsidRDefault="008F061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200 000</w:t>
            </w:r>
          </w:p>
        </w:tc>
      </w:tr>
      <w:tr w:rsidR="00C82606" w:rsidTr="008F061C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C82606" w:rsidRDefault="008F061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Фильтр одноразовый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2606" w:rsidRDefault="008F061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557070100 Фильтр одноразовый HMEF 1000/S с портом для отбора газов 50 </w:t>
            </w:r>
            <w:proofErr w:type="spellStart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шт</w:t>
            </w:r>
            <w:proofErr w:type="spellEnd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уп</w:t>
            </w:r>
            <w:proofErr w:type="spellEnd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(для ИВЛ </w:t>
            </w:r>
            <w:proofErr w:type="spellStart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Care</w:t>
            </w:r>
            <w:proofErr w:type="spellEnd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Fusion</w:t>
            </w:r>
            <w:proofErr w:type="spellEnd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82606" w:rsidRDefault="008F0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C82606" w:rsidRDefault="008F0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82606" w:rsidRDefault="008F0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200000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82606" w:rsidRDefault="008F061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200 000</w:t>
            </w:r>
          </w:p>
        </w:tc>
      </w:tr>
      <w:tr w:rsidR="00AC1663" w:rsidTr="008F061C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AC1663" w:rsidRDefault="00AC16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C1663" w:rsidRPr="008F061C" w:rsidRDefault="00F7634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Наконечники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C1663" w:rsidRPr="008F061C" w:rsidRDefault="00F7634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Для дозатора 1000 мкл, 500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719" w:type="dxa"/>
            <w:shd w:val="clear" w:color="auto" w:fill="auto"/>
            <w:vAlign w:val="center"/>
          </w:tcPr>
          <w:p w:rsidR="00AC1663" w:rsidRDefault="00F7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AC1663" w:rsidRDefault="00F7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C1663" w:rsidRDefault="00F7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C1663" w:rsidRDefault="00F7634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30 000</w:t>
            </w:r>
          </w:p>
        </w:tc>
      </w:tr>
      <w:tr w:rsidR="00F76341" w:rsidTr="008F061C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F76341" w:rsidRDefault="00F763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76341" w:rsidRDefault="00F7634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Наконечники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76341" w:rsidRDefault="00F7634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Для дозатора 10-100 мл</w:t>
            </w:r>
            <w:r w:rsidR="00532B5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1000 </w:t>
            </w:r>
            <w:proofErr w:type="spellStart"/>
            <w:r w:rsidR="00532B58">
              <w:rPr>
                <w:rFonts w:ascii="Times New Roman" w:hAnsi="Times New Roman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719" w:type="dxa"/>
            <w:shd w:val="clear" w:color="auto" w:fill="auto"/>
            <w:vAlign w:val="center"/>
          </w:tcPr>
          <w:p w:rsidR="00F76341" w:rsidRDefault="00F7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F76341" w:rsidRDefault="00F7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6341" w:rsidRDefault="00F7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76341" w:rsidRDefault="00F7634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60 000</w:t>
            </w:r>
          </w:p>
        </w:tc>
      </w:tr>
      <w:tr w:rsidR="00F76341" w:rsidTr="008F061C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F76341" w:rsidRDefault="00F763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76341" w:rsidRDefault="00F7634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Митилен</w:t>
            </w:r>
            <w:proofErr w:type="spellEnd"/>
            <w:r w:rsidR="00FC157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голубой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76341" w:rsidRDefault="00FC1572" w:rsidP="00F7634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Метилен </w:t>
            </w:r>
            <w:r w:rsidR="00F7634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голубой (синий) 50г.  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76341" w:rsidRDefault="00F7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F76341" w:rsidRDefault="00F7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6341" w:rsidRDefault="00F7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10500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76341" w:rsidRDefault="00F7634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52 500</w:t>
            </w:r>
          </w:p>
        </w:tc>
      </w:tr>
      <w:tr w:rsidR="00F76341" w:rsidTr="008F061C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F76341" w:rsidRDefault="00F763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76341" w:rsidRDefault="00F7634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Азур-эозин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76341" w:rsidRDefault="00F76341" w:rsidP="00F7634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по Май-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Грюнвальду</w:t>
            </w:r>
            <w:proofErr w:type="spellEnd"/>
          </w:p>
        </w:tc>
        <w:tc>
          <w:tcPr>
            <w:tcW w:w="719" w:type="dxa"/>
            <w:shd w:val="clear" w:color="auto" w:fill="auto"/>
            <w:vAlign w:val="center"/>
          </w:tcPr>
          <w:p w:rsidR="00F76341" w:rsidRDefault="00532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F76341" w:rsidRDefault="00532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6341" w:rsidRDefault="00532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76341" w:rsidRDefault="00532B5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9 000</w:t>
            </w:r>
          </w:p>
        </w:tc>
      </w:tr>
      <w:tr w:rsidR="00532B58" w:rsidTr="008F061C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532B58" w:rsidRDefault="00532B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532B58" w:rsidRDefault="00532B5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Азур-эозин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32B58" w:rsidRDefault="00532B58" w:rsidP="00F7634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По Романовскому с буфером (разв.1:20)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532B58" w:rsidRDefault="00532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532B58" w:rsidRDefault="00532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32B58" w:rsidRDefault="00532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32B58" w:rsidRDefault="00532B5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15 000</w:t>
            </w:r>
          </w:p>
        </w:tc>
      </w:tr>
      <w:tr w:rsidR="003B16D8" w:rsidTr="008F061C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3B16D8" w:rsidRDefault="003B1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3B16D8" w:rsidRPr="003B16D8" w:rsidRDefault="003B16D8" w:rsidP="003B16D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B16D8">
              <w:rPr>
                <w:rFonts w:ascii="Times New Roman" w:hAnsi="Times New Roman"/>
                <w:sz w:val="20"/>
                <w:szCs w:val="20"/>
                <w:lang w:eastAsia="zh-CN"/>
              </w:rPr>
              <w:t>Сыворотка противостолбнячная лошадиная очищенная</w:t>
            </w:r>
          </w:p>
          <w:p w:rsidR="003B16D8" w:rsidRDefault="003B16D8" w:rsidP="003B16D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B16D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концентрированная жидкая </w:t>
            </w:r>
          </w:p>
          <w:p w:rsidR="003B16D8" w:rsidRDefault="003B16D8" w:rsidP="003B16D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3B16D8" w:rsidRPr="003B16D8" w:rsidRDefault="003B16D8" w:rsidP="003B16D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B16D8">
              <w:rPr>
                <w:rFonts w:ascii="Times New Roman" w:hAnsi="Times New Roman"/>
                <w:sz w:val="20"/>
                <w:szCs w:val="20"/>
                <w:lang w:eastAsia="zh-CN"/>
              </w:rPr>
              <w:t>(Сыворотка</w:t>
            </w:r>
          </w:p>
          <w:p w:rsidR="003B16D8" w:rsidRPr="003B16D8" w:rsidRDefault="003B16D8" w:rsidP="003B16D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B16D8">
              <w:rPr>
                <w:rFonts w:ascii="Times New Roman" w:hAnsi="Times New Roman"/>
                <w:sz w:val="20"/>
                <w:szCs w:val="20"/>
                <w:lang w:eastAsia="zh-CN"/>
              </w:rPr>
              <w:t>противостолбнячная</w:t>
            </w:r>
            <w:proofErr w:type="gramStart"/>
            <w:r w:rsidRPr="003B16D8">
              <w:rPr>
                <w:rFonts w:ascii="Times New Roman" w:hAnsi="Times New Roman"/>
                <w:sz w:val="20"/>
                <w:szCs w:val="20"/>
                <w:lang w:eastAsia="zh-CN"/>
              </w:rPr>
              <w:t>),раствор</w:t>
            </w:r>
            <w:proofErr w:type="gramEnd"/>
            <w:r w:rsidRPr="003B16D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для внутримышечного и</w:t>
            </w:r>
          </w:p>
          <w:p w:rsidR="003B16D8" w:rsidRPr="003B16D8" w:rsidRDefault="003B16D8" w:rsidP="003B16D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B16D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подкожного введения 3000 </w:t>
            </w:r>
            <w:proofErr w:type="spellStart"/>
            <w:proofErr w:type="gramStart"/>
            <w:r w:rsidRPr="003B16D8">
              <w:rPr>
                <w:rFonts w:ascii="Times New Roman" w:hAnsi="Times New Roman"/>
                <w:sz w:val="20"/>
                <w:szCs w:val="20"/>
                <w:lang w:eastAsia="zh-CN"/>
              </w:rPr>
              <w:t>МЕ,в</w:t>
            </w:r>
            <w:proofErr w:type="spellEnd"/>
            <w:proofErr w:type="gramEnd"/>
            <w:r w:rsidRPr="003B16D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ампулах 1 мл №5,в</w:t>
            </w:r>
          </w:p>
          <w:p w:rsidR="003B16D8" w:rsidRPr="003B16D8" w:rsidRDefault="003B16D8" w:rsidP="003B16D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B16D8">
              <w:rPr>
                <w:rFonts w:ascii="Times New Roman" w:hAnsi="Times New Roman"/>
                <w:sz w:val="20"/>
                <w:szCs w:val="20"/>
                <w:lang w:eastAsia="zh-CN"/>
              </w:rPr>
              <w:t>комплекте с сывороткой лошадиной очищенной</w:t>
            </w:r>
          </w:p>
          <w:p w:rsidR="003B16D8" w:rsidRDefault="003B16D8" w:rsidP="003B16D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B16D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разведенной </w:t>
            </w:r>
            <w:proofErr w:type="gramStart"/>
            <w:r w:rsidRPr="003B16D8">
              <w:rPr>
                <w:rFonts w:ascii="Times New Roman" w:hAnsi="Times New Roman"/>
                <w:sz w:val="20"/>
                <w:szCs w:val="20"/>
                <w:lang w:eastAsia="zh-CN"/>
              </w:rPr>
              <w:t>1:100,ампулы</w:t>
            </w:r>
            <w:proofErr w:type="gramEnd"/>
            <w:r w:rsidRPr="003B16D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№5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B16D8" w:rsidRDefault="003B16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3B16D8" w:rsidRDefault="003B16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B16D8" w:rsidRDefault="003B16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7560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B16D8" w:rsidRDefault="003B16D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52 920</w:t>
            </w:r>
          </w:p>
        </w:tc>
      </w:tr>
      <w:tr w:rsidR="00C82606" w:rsidTr="008F061C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C82606" w:rsidRDefault="00C826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C82606" w:rsidRDefault="00C826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82606" w:rsidRDefault="00C826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2606" w:rsidRDefault="00C826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C82606" w:rsidRDefault="00C826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82606" w:rsidRPr="008F061C" w:rsidRDefault="003B16D8" w:rsidP="003B16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619 42</w:t>
            </w:r>
            <w:bookmarkStart w:id="0" w:name="_GoBack"/>
            <w:bookmarkEnd w:id="0"/>
            <w:r w:rsidR="008F061C" w:rsidRPr="008F061C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C82606" w:rsidRDefault="00C82606">
      <w:pPr>
        <w:rPr>
          <w:rFonts w:ascii="Times New Roman" w:hAnsi="Times New Roman" w:cs="Times New Roman"/>
          <w:sz w:val="20"/>
          <w:szCs w:val="20"/>
        </w:rPr>
      </w:pPr>
    </w:p>
    <w:p w:rsidR="00C82606" w:rsidRDefault="00D97060" w:rsidP="008F061C">
      <w:pPr>
        <w:pStyle w:val="1"/>
        <w:jc w:val="both"/>
      </w:pPr>
      <w:r>
        <w:t xml:space="preserve"> </w:t>
      </w:r>
    </w:p>
    <w:sectPr w:rsidR="00C82606">
      <w:pgSz w:w="11906" w:h="16838"/>
      <w:pgMar w:top="907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3B16D8"/>
    <w:rsid w:val="00532B58"/>
    <w:rsid w:val="005C4DCB"/>
    <w:rsid w:val="00884E86"/>
    <w:rsid w:val="008F061C"/>
    <w:rsid w:val="00AC1663"/>
    <w:rsid w:val="00C82606"/>
    <w:rsid w:val="00D019AC"/>
    <w:rsid w:val="00D97060"/>
    <w:rsid w:val="00F76341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03071-36E9-4C0C-A0B8-9FF68A54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4162C"/>
    <w:pPr>
      <w:ind w:left="720"/>
      <w:contextualSpacing/>
    </w:pPr>
  </w:style>
  <w:style w:type="table" w:styleId="ab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D5B1-E64F-4AA6-A2E2-7318C370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GZ</cp:lastModifiedBy>
  <cp:revision>24</cp:revision>
  <cp:lastPrinted>2020-06-22T06:12:00Z</cp:lastPrinted>
  <dcterms:created xsi:type="dcterms:W3CDTF">2020-06-22T04:38:00Z</dcterms:created>
  <dcterms:modified xsi:type="dcterms:W3CDTF">2020-09-08T09:57:00Z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