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4BEB">
        <w:rPr>
          <w:rFonts w:ascii="Times New Roman" w:hAnsi="Times New Roman" w:cs="Times New Roman"/>
          <w:b/>
          <w:sz w:val="24"/>
          <w:szCs w:val="24"/>
        </w:rPr>
        <w:t>2</w:t>
      </w:r>
      <w:r w:rsidR="00DA36C1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B6CDE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7B0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DA36C1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E77B0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>Объявление об</w:t>
      </w: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медицинских изделий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424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DA3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9B6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.2020 г. до 13 часов 00 минут </w:t>
      </w:r>
      <w:r w:rsidR="009E7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DA3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9E7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 г. (режим работы с 09 часов 00 минут до 18 часов 00 минут за исключением выходных дней и обеденного перерыва с 13 часов 00 минут до 14 часов 00 минут).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a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Уполномоченный представитель организатора закупок: Карибаев Б.Х. экономист-специалист ГЗ тел: 292-11-75, эл.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  <w:proofErr w:type="gramEnd"/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C67DB" w:rsidRDefault="008C67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Pr="00D31BF5" w:rsidRDefault="00D97060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31BF5">
        <w:rPr>
          <w:rFonts w:ascii="Times New Roman" w:hAnsi="Times New Roman" w:cs="Times New Roman"/>
          <w:lang w:val="kk-KZ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r w:rsidRPr="00D31BF5">
        <w:rPr>
          <w:rFonts w:ascii="Times New Roman" w:hAnsi="Times New Roman" w:cs="Times New Roman"/>
          <w:lang w:val="kk-KZ"/>
        </w:rPr>
        <w:t>осымша</w:t>
      </w:r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D31BF5">
        <w:rPr>
          <w:rFonts w:ascii="Times New Roman" w:hAnsi="Times New Roman" w:cs="Times New Roman"/>
          <w:sz w:val="20"/>
          <w:szCs w:val="20"/>
          <w:lang w:val="kk-KZ"/>
        </w:rPr>
        <w:t>№1</w:t>
      </w:r>
    </w:p>
    <w:p w:rsidR="00794754" w:rsidRPr="00D31BF5" w:rsidRDefault="00794754" w:rsidP="00794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1BF5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D97060" w:rsidRPr="00D31B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атып алынатын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 w:rsidR="00D97060" w:rsidRPr="00D31B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заттардың </w:t>
      </w:r>
      <w:r w:rsidR="00D97060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D97060" w:rsidRPr="00D31BF5">
        <w:rPr>
          <w:rFonts w:ascii="Times New Roman" w:hAnsi="Times New Roman" w:cs="Times New Roman"/>
          <w:b/>
          <w:sz w:val="28"/>
          <w:szCs w:val="28"/>
          <w:lang w:val="kk-KZ"/>
        </w:rPr>
        <w:t>ізбесі/</w:t>
      </w:r>
    </w:p>
    <w:p w:rsidR="00C82606" w:rsidRDefault="00D97060" w:rsidP="0079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p w:rsidR="00794754" w:rsidRDefault="00794754" w:rsidP="0079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7"/>
        <w:tblW w:w="99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1683"/>
        <w:gridCol w:w="4002"/>
        <w:gridCol w:w="705"/>
        <w:gridCol w:w="996"/>
        <w:gridCol w:w="852"/>
        <w:gridCol w:w="1154"/>
      </w:tblGrid>
      <w:tr w:rsidR="0032722E" w:rsidRPr="00DA36C1" w:rsidTr="00DA36C1">
        <w:trPr>
          <w:trHeight w:val="497"/>
        </w:trPr>
        <w:tc>
          <w:tcPr>
            <w:tcW w:w="552" w:type="dxa"/>
          </w:tcPr>
          <w:p w:rsidR="0032722E" w:rsidRPr="00DA36C1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83" w:type="dxa"/>
          </w:tcPr>
          <w:p w:rsidR="0032722E" w:rsidRPr="00DA36C1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4002" w:type="dxa"/>
          </w:tcPr>
          <w:p w:rsidR="0032722E" w:rsidRPr="00DA36C1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Полная характеристика (описание) товаров</w:t>
            </w:r>
          </w:p>
        </w:tc>
        <w:tc>
          <w:tcPr>
            <w:tcW w:w="705" w:type="dxa"/>
          </w:tcPr>
          <w:p w:rsidR="0032722E" w:rsidRPr="00DA36C1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6" w:type="dxa"/>
          </w:tcPr>
          <w:p w:rsidR="0032722E" w:rsidRPr="00DA36C1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52" w:type="dxa"/>
          </w:tcPr>
          <w:p w:rsidR="0032722E" w:rsidRPr="00DA36C1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ед. в тенге</w:t>
            </w:r>
          </w:p>
        </w:tc>
        <w:tc>
          <w:tcPr>
            <w:tcW w:w="1154" w:type="dxa"/>
          </w:tcPr>
          <w:p w:rsidR="0032722E" w:rsidRPr="00DA36C1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 w:rsidRPr="00DA36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тг</w:t>
            </w:r>
            <w:proofErr w:type="spellEnd"/>
          </w:p>
        </w:tc>
      </w:tr>
      <w:tr w:rsidR="0032722E" w:rsidRPr="00DA36C1" w:rsidTr="00DA36C1">
        <w:trPr>
          <w:trHeight w:val="133"/>
        </w:trPr>
        <w:tc>
          <w:tcPr>
            <w:tcW w:w="552" w:type="dxa"/>
            <w:vAlign w:val="center"/>
          </w:tcPr>
          <w:p w:rsidR="0032722E" w:rsidRPr="00DA36C1" w:rsidRDefault="0032722E" w:rsidP="003A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3" w:type="dxa"/>
            <w:vAlign w:val="center"/>
          </w:tcPr>
          <w:p w:rsidR="0032722E" w:rsidRPr="00DA36C1" w:rsidRDefault="009E77B0" w:rsidP="003A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Гель</w:t>
            </w:r>
            <w:r w:rsidR="00794754"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ультразвуковой диагностики</w:t>
            </w:r>
          </w:p>
        </w:tc>
        <w:tc>
          <w:tcPr>
            <w:tcW w:w="4002" w:type="dxa"/>
            <w:vAlign w:val="center"/>
          </w:tcPr>
          <w:p w:rsidR="00794754" w:rsidRPr="00DA36C1" w:rsidRDefault="00794754" w:rsidP="0079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Гель для ультразвуковой диагностики 5000гр </w:t>
            </w:r>
          </w:p>
          <w:p w:rsidR="00794754" w:rsidRPr="00DA36C1" w:rsidRDefault="00794754" w:rsidP="0079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Состав геля:</w:t>
            </w:r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деминерализованная вода, глицерин, </w:t>
            </w:r>
            <w:proofErr w:type="spellStart"/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карбомер</w:t>
            </w:r>
            <w:proofErr w:type="spellEnd"/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пропиленгликоль</w:t>
            </w:r>
            <w:proofErr w:type="spellEnd"/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метилизотиазолин</w:t>
            </w:r>
            <w:proofErr w:type="spellEnd"/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голубой краситель.</w:t>
            </w:r>
          </w:p>
          <w:p w:rsidR="00794754" w:rsidRPr="00DA36C1" w:rsidRDefault="00794754" w:rsidP="0079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Вязкость:</w:t>
            </w:r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высокая</w:t>
            </w:r>
          </w:p>
          <w:p w:rsidR="00794754" w:rsidRPr="00DA36C1" w:rsidRDefault="00794754" w:rsidP="0079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Цвет</w:t>
            </w:r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голубой.</w:t>
            </w:r>
          </w:p>
          <w:p w:rsidR="00794754" w:rsidRPr="00DA36C1" w:rsidRDefault="00794754" w:rsidP="0079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 запаха.</w:t>
            </w:r>
          </w:p>
          <w:p w:rsidR="00794754" w:rsidRPr="00DA36C1" w:rsidRDefault="00794754" w:rsidP="0079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36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pH</w:t>
            </w:r>
            <w:proofErr w:type="spellEnd"/>
            <w:r w:rsidRPr="00DA36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5,5 – 9</w:t>
            </w:r>
          </w:p>
          <w:p w:rsidR="00794754" w:rsidRPr="00DA36C1" w:rsidRDefault="00794754" w:rsidP="0079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Назначение: </w:t>
            </w:r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 для использования во время ультразвуковой физиотерапии и диагностики.</w:t>
            </w:r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Гель только для внешнего использования, нестерильный. Не использовать на коже, которая повреждена царапинами, эритемой или ранами. Закрывать бутылку, пакет после каждого использования.</w:t>
            </w:r>
          </w:p>
          <w:p w:rsidR="00794754" w:rsidRPr="00DA36C1" w:rsidRDefault="00794754" w:rsidP="0079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Срок хранения</w:t>
            </w:r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3 года от даты производства. </w:t>
            </w:r>
          </w:p>
          <w:p w:rsidR="0032722E" w:rsidRPr="00DA36C1" w:rsidRDefault="00794754" w:rsidP="0079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Хранить в сухом темном месте при комнатной температуре. Держать упаковку подальше от прямых солнечных лучей и источников УФ излучения.</w:t>
            </w:r>
          </w:p>
          <w:p w:rsidR="00794754" w:rsidRPr="00DA36C1" w:rsidRDefault="00794754" w:rsidP="0079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Пакет 5000 гр. высокой вязкости  </w:t>
            </w:r>
          </w:p>
          <w:p w:rsidR="00794754" w:rsidRPr="00DA36C1" w:rsidRDefault="00794754" w:rsidP="0079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A36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Ящик - 4 упаковки. В каждой отдельной упаковке - пакет 5 л. + </w:t>
            </w:r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пустая бутылочка 250 гр. + переходник + адаптер)</w:t>
            </w:r>
          </w:p>
        </w:tc>
        <w:tc>
          <w:tcPr>
            <w:tcW w:w="705" w:type="dxa"/>
            <w:vAlign w:val="center"/>
          </w:tcPr>
          <w:p w:rsidR="0032722E" w:rsidRPr="00DA36C1" w:rsidRDefault="00424BEB" w:rsidP="003A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6" w:type="dxa"/>
            <w:vAlign w:val="center"/>
          </w:tcPr>
          <w:p w:rsidR="0032722E" w:rsidRPr="00DA36C1" w:rsidRDefault="00424BEB" w:rsidP="00794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vAlign w:val="center"/>
          </w:tcPr>
          <w:p w:rsidR="0032722E" w:rsidRPr="00DA36C1" w:rsidRDefault="00794754" w:rsidP="003A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154" w:type="dxa"/>
            <w:vAlign w:val="center"/>
          </w:tcPr>
          <w:p w:rsidR="0032722E" w:rsidRPr="00DA36C1" w:rsidRDefault="00794754" w:rsidP="00794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837F1"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37F1" w:rsidRPr="00DA3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DA36C1" w:rsidRPr="00DA36C1" w:rsidTr="00DA36C1">
        <w:trPr>
          <w:trHeight w:val="133"/>
        </w:trPr>
        <w:tc>
          <w:tcPr>
            <w:tcW w:w="552" w:type="dxa"/>
            <w:vAlign w:val="center"/>
          </w:tcPr>
          <w:p w:rsidR="00DA36C1" w:rsidRPr="00DA36C1" w:rsidRDefault="00DA36C1" w:rsidP="00DA3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6C1" w:rsidRPr="00DA36C1" w:rsidRDefault="00DA36C1" w:rsidP="00DA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6C1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 w:rsidRPr="00DA36C1">
              <w:rPr>
                <w:rFonts w:ascii="Times New Roman" w:hAnsi="Times New Roman"/>
                <w:sz w:val="20"/>
                <w:szCs w:val="20"/>
              </w:rPr>
              <w:t>трансфузионная</w:t>
            </w:r>
            <w:proofErr w:type="spellEnd"/>
            <w:r w:rsidRPr="00DA36C1">
              <w:rPr>
                <w:rFonts w:ascii="Times New Roman" w:hAnsi="Times New Roman"/>
                <w:sz w:val="20"/>
                <w:szCs w:val="20"/>
              </w:rPr>
              <w:t xml:space="preserve"> стерильная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C1" w:rsidRPr="00DA36C1" w:rsidRDefault="00DA36C1" w:rsidP="00DA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6C1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 w:rsidRPr="00DA36C1">
              <w:rPr>
                <w:rFonts w:ascii="Times New Roman" w:hAnsi="Times New Roman"/>
                <w:sz w:val="20"/>
                <w:szCs w:val="20"/>
              </w:rPr>
              <w:t>трансфузионная</w:t>
            </w:r>
            <w:proofErr w:type="spellEnd"/>
            <w:r w:rsidRPr="00DA36C1">
              <w:rPr>
                <w:rFonts w:ascii="Times New Roman" w:hAnsi="Times New Roman"/>
                <w:sz w:val="20"/>
                <w:szCs w:val="20"/>
              </w:rPr>
              <w:t xml:space="preserve"> стерильная, однократного применения Предназначена для переливания крови, ее компонентов и заменителей, а также для поддержания водного баланса в случае, когда пациент не в состоянии принимать достаточный объем жидкости перорально. Система включает следующие компоненты: игла, линия проводящая, роликовый регулятор потока, капельная камера, фильтр, коннектор. Состав: поливинилхлорид, полиэтилен высокой плотности; нержавеющая сталь; АБС; полипропилен; каучук. Размер иглы: 18G, 19G, 20G, 21G. Длина проводящей линии: 1500 мм, внутренний диаметр: 2.7 мм. Скорость потока жидкости: не более 10 мин/л, 20 капель/мл.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C1" w:rsidRPr="00DA36C1" w:rsidRDefault="00DA36C1" w:rsidP="00DA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36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C1" w:rsidRPr="00DA36C1" w:rsidRDefault="00DA36C1" w:rsidP="00DA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6C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C1" w:rsidRPr="00DA36C1" w:rsidRDefault="00DA36C1" w:rsidP="00D31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36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31BF5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6C1" w:rsidRPr="00DA36C1" w:rsidRDefault="00D31BF5" w:rsidP="00D31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  <w:r w:rsidR="00DA36C1" w:rsidRPr="00DA36C1">
              <w:rPr>
                <w:rFonts w:ascii="Times New Roman" w:hAnsi="Times New Roman"/>
                <w:sz w:val="20"/>
                <w:szCs w:val="20"/>
                <w:lang w:val="kk-KZ"/>
              </w:rPr>
              <w:t>000</w:t>
            </w:r>
          </w:p>
        </w:tc>
        <w:bookmarkStart w:id="0" w:name="_GoBack"/>
        <w:bookmarkEnd w:id="0"/>
      </w:tr>
      <w:tr w:rsidR="0032722E" w:rsidRPr="00DA36C1" w:rsidTr="00DA36C1">
        <w:trPr>
          <w:trHeight w:val="70"/>
        </w:trPr>
        <w:tc>
          <w:tcPr>
            <w:tcW w:w="552" w:type="dxa"/>
            <w:shd w:val="clear" w:color="auto" w:fill="auto"/>
            <w:vAlign w:val="center"/>
          </w:tcPr>
          <w:p w:rsidR="0032722E" w:rsidRPr="00DA36C1" w:rsidRDefault="0032722E" w:rsidP="0032722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kk-KZ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32722E" w:rsidRPr="00DA36C1" w:rsidRDefault="0032722E" w:rsidP="0032722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32722E" w:rsidRPr="00DA36C1" w:rsidRDefault="0032722E" w:rsidP="0032722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32722E" w:rsidRPr="00DA36C1" w:rsidRDefault="0032722E" w:rsidP="003272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722E" w:rsidRPr="00DA36C1" w:rsidRDefault="0032722E" w:rsidP="003272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2722E" w:rsidRPr="00DA36C1" w:rsidRDefault="0032722E" w:rsidP="0032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2722E" w:rsidRPr="00DA36C1" w:rsidRDefault="00DA36C1" w:rsidP="00D31B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A36C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10</w:t>
            </w:r>
            <w:r w:rsidR="00D31BF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6</w:t>
            </w:r>
            <w:r w:rsidRPr="00DA36C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000</w:t>
            </w:r>
          </w:p>
        </w:tc>
      </w:tr>
    </w:tbl>
    <w:p w:rsidR="00C82606" w:rsidRDefault="00C82606" w:rsidP="00DA36C1">
      <w:pPr>
        <w:pStyle w:val="1"/>
        <w:jc w:val="both"/>
      </w:pPr>
    </w:p>
    <w:sectPr w:rsidR="00C82606">
      <w:pgSz w:w="11906" w:h="16838"/>
      <w:pgMar w:top="907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32722E"/>
    <w:rsid w:val="003A32C6"/>
    <w:rsid w:val="00424BEB"/>
    <w:rsid w:val="004D139B"/>
    <w:rsid w:val="004D3DB4"/>
    <w:rsid w:val="00794754"/>
    <w:rsid w:val="007A6938"/>
    <w:rsid w:val="008C67DB"/>
    <w:rsid w:val="009B6CDE"/>
    <w:rsid w:val="009E77B0"/>
    <w:rsid w:val="00BB303B"/>
    <w:rsid w:val="00BF7E1D"/>
    <w:rsid w:val="00C82606"/>
    <w:rsid w:val="00C84685"/>
    <w:rsid w:val="00D31BF5"/>
    <w:rsid w:val="00D50E80"/>
    <w:rsid w:val="00D97060"/>
    <w:rsid w:val="00DA36C1"/>
    <w:rsid w:val="00F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0D7C3-85BE-44CB-827E-97305172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4162C"/>
    <w:pPr>
      <w:ind w:left="720"/>
      <w:contextualSpacing/>
    </w:pPr>
  </w:style>
  <w:style w:type="table" w:styleId="ab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0524-6C8B-40C3-BE03-C152E862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GZ</cp:lastModifiedBy>
  <cp:revision>29</cp:revision>
  <cp:lastPrinted>2020-08-18T09:09:00Z</cp:lastPrinted>
  <dcterms:created xsi:type="dcterms:W3CDTF">2020-06-22T04:38:00Z</dcterms:created>
  <dcterms:modified xsi:type="dcterms:W3CDTF">2020-08-28T04:43:00Z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