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: Алм</w:t>
      </w:r>
      <w:r>
        <w:rPr>
          <w:rFonts w:ascii="Times New Roman" w:hAnsi="Times New Roman" w:cs="Times New Roman"/>
          <w:sz w:val="24"/>
          <w:szCs w:val="24"/>
        </w:rPr>
        <w:t xml:space="preserve">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.06.2020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минут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Конве</w:t>
      </w:r>
      <w:r>
        <w:rPr>
          <w:rFonts w:ascii="Times New Roman" w:hAnsi="Times New Roman" w:cs="Times New Roman"/>
          <w:sz w:val="24"/>
          <w:szCs w:val="24"/>
        </w:rPr>
        <w:t xml:space="preserve">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</w:t>
      </w:r>
      <w:proofErr w:type="gramStart"/>
      <w:r>
        <w:rPr>
          <w:b w:val="0"/>
          <w:sz w:val="18"/>
          <w:szCs w:val="18"/>
        </w:rPr>
        <w:t>р</w:t>
      </w:r>
      <w:proofErr w:type="gramEnd"/>
      <w:r>
        <w:rPr>
          <w:b w:val="0"/>
          <w:sz w:val="18"/>
          <w:szCs w:val="18"/>
        </w:rPr>
        <w:t>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</w:t>
      </w:r>
      <w:r>
        <w:rPr>
          <w:b w:val="0"/>
          <w:sz w:val="18"/>
          <w:szCs w:val="18"/>
        </w:rPr>
        <w:t>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</w:t>
      </w:r>
      <w:proofErr w:type="gramEnd"/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 закупа лекарственных средств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и адрес местонахождения заказчика/организатора  закупок:  ГКП на ПХВ «Городской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b/>
          <w:sz w:val="24"/>
          <w:szCs w:val="24"/>
        </w:rPr>
        <w:t>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  <w:proofErr w:type="gramEnd"/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09 часов 00 минут 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.06.2020 г. до 13 часов 00 минут 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 часов 00 минут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часов 00 минут).</w:t>
      </w:r>
      <w:proofErr w:type="gramEnd"/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</w:t>
      </w:r>
      <w:r>
        <w:rPr>
          <w:rFonts w:ascii="Times New Roman" w:hAnsi="Times New Roman" w:cs="Times New Roman"/>
          <w:sz w:val="24"/>
          <w:szCs w:val="24"/>
        </w:rPr>
        <w:t>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</w:t>
      </w:r>
      <w:r>
        <w:rPr>
          <w:rFonts w:ascii="Times New Roman" w:hAnsi="Times New Roman" w:cs="Times New Roman"/>
          <w:sz w:val="24"/>
          <w:szCs w:val="24"/>
        </w:rPr>
        <w:t xml:space="preserve">дложение в запечатанном виде.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</w:t>
      </w:r>
      <w:r>
        <w:rPr>
          <w:rFonts w:ascii="Times New Roman" w:hAnsi="Times New Roman" w:cs="Times New Roman"/>
          <w:sz w:val="24"/>
          <w:szCs w:val="24"/>
        </w:rPr>
        <w:t>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</w:t>
      </w:r>
      <w:r>
        <w:rPr>
          <w:rFonts w:ascii="Times New Roman" w:hAnsi="Times New Roman" w:cs="Times New Roman"/>
          <w:sz w:val="24"/>
          <w:szCs w:val="24"/>
        </w:rPr>
        <w:t>м главой 4 Правил*.</w:t>
      </w:r>
      <w:proofErr w:type="gramEnd"/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ождения организатора закупок; наименование закупок товаров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При осуществлении закупа способом запроса ценовых предложений заказчик или организатор закупа составляют про</w:t>
      </w:r>
      <w:r>
        <w:rPr>
          <w:rFonts w:ascii="Times New Roman" w:hAnsi="Times New Roman" w:cs="Times New Roman"/>
          <w:sz w:val="24"/>
          <w:szCs w:val="24"/>
        </w:rPr>
        <w:t xml:space="preserve">токол итогов в течение десяти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 экономист-специалист ГЗ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</w:t>
      </w:r>
      <w:r>
        <w:rPr>
          <w:b w:val="0"/>
          <w:sz w:val="18"/>
          <w:szCs w:val="18"/>
        </w:rPr>
        <w:t>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закупаемых лекарственных средств*</w:t>
      </w:r>
    </w:p>
    <w:tbl>
      <w:tblPr>
        <w:tblStyle w:val="7"/>
        <w:tblW w:w="9946" w:type="dxa"/>
        <w:tblLook w:val="04A0" w:firstRow="1" w:lastRow="0" w:firstColumn="1" w:lastColumn="0" w:noHBand="0" w:noVBand="1"/>
      </w:tblPr>
      <w:tblGrid>
        <w:gridCol w:w="560"/>
        <w:gridCol w:w="2530"/>
        <w:gridCol w:w="3060"/>
        <w:gridCol w:w="719"/>
        <w:gridCol w:w="725"/>
        <w:gridCol w:w="996"/>
        <w:gridCol w:w="1356"/>
      </w:tblGrid>
      <w:tr w:rsidR="00C82606">
        <w:trPr>
          <w:trHeight w:val="300"/>
        </w:trPr>
        <w:tc>
          <w:tcPr>
            <w:tcW w:w="559" w:type="dxa"/>
            <w:shd w:val="clear" w:color="auto" w:fill="auto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в ед.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ед., тенге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тенге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Кальция глюконат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Кальция глюконат стабилизированный, раствор для инъекций, 10%, 5 мл, упаковка № 10 </w:t>
            </w:r>
          </w:p>
          <w:p w:rsidR="00C82606" w:rsidRDefault="00C82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28,81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36012,50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Допегит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®, таблетки, 250 мг, фасовка №50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2538,50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165002,50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eastAsia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Мезатон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  1%, 1 мл №10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384,70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15388,00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Натрия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оксибат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Натрия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раствор для инъекций,  20%, 10 мл, упаковка №10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164,44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32888,00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Глюкоза, раствор для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>, 10 %, 200 мл №1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300600,00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Ацетилсалициловая кислота, таблетка 500 мг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Таб.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1,97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19700,00</w:t>
            </w:r>
          </w:p>
        </w:tc>
      </w:tr>
      <w:tr w:rsidR="00C8260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569591,00</w:t>
            </w:r>
          </w:p>
        </w:tc>
      </w:tr>
    </w:tbl>
    <w:p w:rsidR="00C82606" w:rsidRDefault="00C82606">
      <w:pPr>
        <w:rPr>
          <w:rFonts w:ascii="Times New Roman" w:hAnsi="Times New Roman" w:cs="Times New Roman"/>
          <w:sz w:val="20"/>
          <w:szCs w:val="20"/>
        </w:rPr>
      </w:pPr>
    </w:p>
    <w:p w:rsidR="00C82606" w:rsidRDefault="00D97060">
      <w:pPr>
        <w:pStyle w:val="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*Цены на лекарственные средства указаны согласно </w:t>
      </w:r>
      <w:r>
        <w:rPr>
          <w:b w:val="0"/>
          <w:color w:val="000000"/>
          <w:sz w:val="22"/>
          <w:szCs w:val="22"/>
        </w:rPr>
        <w:t>Приказу  Министра здравоохранения Республики Казахстан от 5 июня 2020 года № Қ</w:t>
      </w:r>
      <w:proofErr w:type="gramStart"/>
      <w:r>
        <w:rPr>
          <w:b w:val="0"/>
          <w:color w:val="000000"/>
          <w:sz w:val="22"/>
          <w:szCs w:val="22"/>
        </w:rPr>
        <w:t>Р</w:t>
      </w:r>
      <w:proofErr w:type="gramEnd"/>
      <w:r>
        <w:rPr>
          <w:b w:val="0"/>
          <w:color w:val="000000"/>
          <w:sz w:val="22"/>
          <w:szCs w:val="22"/>
        </w:rPr>
        <w:t xml:space="preserve"> ДСМ-62/2020 «Об утверждении предельных цен на торговое наименование лекарственных средств в рамках гарантированного объема бесплатной медицинской помощи и медицинской помощи в </w:t>
      </w:r>
      <w:r>
        <w:rPr>
          <w:b w:val="0"/>
          <w:color w:val="000000"/>
          <w:sz w:val="22"/>
          <w:szCs w:val="22"/>
        </w:rPr>
        <w:t xml:space="preserve">системе обязательного социального медицинского страхования», </w:t>
      </w:r>
      <w:r>
        <w:rPr>
          <w:b w:val="0"/>
          <w:sz w:val="22"/>
          <w:szCs w:val="22"/>
        </w:rPr>
        <w:t>Приказа Министра здравоохранения Республики Казахстан от 16 марта 2018 года № 112Об утверждении предельных цен на лекарственные средства и изделия медицинского назначения в рамках гарантированног</w:t>
      </w:r>
      <w:r>
        <w:rPr>
          <w:b w:val="0"/>
          <w:sz w:val="22"/>
          <w:szCs w:val="22"/>
        </w:rPr>
        <w:t>о объема бесплатной медицинской помощи и средств обязательного социального медицинского страхования</w:t>
      </w:r>
    </w:p>
    <w:p w:rsidR="00C82606" w:rsidRDefault="00D97060">
      <w:pPr>
        <w:spacing w:after="0"/>
        <w:jc w:val="both"/>
      </w:pPr>
      <w:r>
        <w:t xml:space="preserve"> </w:t>
      </w: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C82606"/>
    <w:rsid w:val="00D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4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.rodd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ddom01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0D22-D782-4200-BA52-36902A2B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1298</Words>
  <Characters>7402</Characters>
  <Application>Microsoft Office Word</Application>
  <DocSecurity>0</DocSecurity>
  <Lines>61</Lines>
  <Paragraphs>17</Paragraphs>
  <ScaleCrop>false</ScaleCrop>
  <Company>diakov.net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ГосЗакупщик</cp:lastModifiedBy>
  <cp:revision>16</cp:revision>
  <cp:lastPrinted>2020-06-22T06:12:00Z</cp:lastPrinted>
  <dcterms:created xsi:type="dcterms:W3CDTF">2020-06-22T04:38:00Z</dcterms:created>
  <dcterms:modified xsi:type="dcterms:W3CDTF">2020-06-23T04:43:00Z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