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C80DB0" w:rsidP="00864E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бъявление 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901E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E93E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="00901E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864E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E93E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МТ</w:t>
      </w:r>
      <w:r w:rsidR="00D6415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 ИМН</w:t>
      </w:r>
      <w:r w:rsidR="003B3A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</w:p>
    <w:p w:rsidR="00250D84" w:rsidRPr="00250D84" w:rsidRDefault="00250D84" w:rsidP="00864ED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B612AA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B6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(Приложение №1 к объявлению), форма ценового предложения (Приложение </w:t>
      </w:r>
      <w:r w:rsidR="00504EA9" w:rsidRPr="00B6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</w:t>
      </w:r>
      <w:r w:rsidRPr="00B6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 объявлению)</w:t>
      </w:r>
      <w:r w:rsidRPr="00B6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90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0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90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1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0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864ED5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4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5110"/>
        <w:gridCol w:w="782"/>
        <w:gridCol w:w="778"/>
        <w:gridCol w:w="1062"/>
        <w:gridCol w:w="1134"/>
      </w:tblGrid>
      <w:tr w:rsidR="003B5BDE" w:rsidRPr="00901EBE" w:rsidTr="003B5BDE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3B5BDE" w:rsidRPr="00901EBE" w:rsidRDefault="003B5BDE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0" w:type="dxa"/>
          </w:tcPr>
          <w:p w:rsidR="003B5BDE" w:rsidRPr="00901EBE" w:rsidRDefault="003B5BDE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3B5BDE" w:rsidRPr="00901EBE" w:rsidRDefault="003B5BDE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3B5BDE" w:rsidRPr="00901EBE" w:rsidRDefault="003B5BDE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B5BDE" w:rsidRPr="00901EBE" w:rsidRDefault="003B5BDE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62" w:type="dxa"/>
            <w:shd w:val="clear" w:color="auto" w:fill="auto"/>
          </w:tcPr>
          <w:p w:rsidR="003B5BDE" w:rsidRPr="00901EBE" w:rsidRDefault="003B5BDE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  <w:shd w:val="clear" w:color="auto" w:fill="auto"/>
          </w:tcPr>
          <w:p w:rsidR="003B5BDE" w:rsidRPr="00901EBE" w:rsidRDefault="003B5BDE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B5BDE" w:rsidRPr="00901EBE" w:rsidTr="003B5BDE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3B5BDE" w:rsidRPr="00901EBE" w:rsidRDefault="003B5BDE" w:rsidP="00901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10" w:type="dxa"/>
          </w:tcPr>
          <w:p w:rsidR="003B5BDE" w:rsidRPr="00901EBE" w:rsidRDefault="003B5BDE" w:rsidP="00A80BA1">
            <w:pPr>
              <w:ind w:left="-10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901E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рибор для </w:t>
            </w:r>
            <w:proofErr w:type="spellStart"/>
            <w:r w:rsidRPr="00901E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аудиологического</w:t>
            </w:r>
            <w:proofErr w:type="spellEnd"/>
            <w:r w:rsidRPr="00901E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скрининга новорожденных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B5BDE" w:rsidRPr="00901EBE" w:rsidRDefault="003B5BDE" w:rsidP="0090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3B5BDE" w:rsidRPr="00901EBE" w:rsidRDefault="003B5BDE" w:rsidP="0090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B5BDE" w:rsidRPr="00901EBE" w:rsidRDefault="003B5BDE" w:rsidP="0090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BE">
              <w:rPr>
                <w:rFonts w:ascii="Times New Roman" w:hAnsi="Times New Roman" w:cs="Times New Roman"/>
                <w:sz w:val="24"/>
                <w:szCs w:val="24"/>
              </w:rPr>
              <w:t>3300000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BDE" w:rsidRPr="00901EBE" w:rsidRDefault="003B5BDE" w:rsidP="0090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BE">
              <w:rPr>
                <w:rFonts w:ascii="Times New Roman" w:hAnsi="Times New Roman" w:cs="Times New Roman"/>
                <w:sz w:val="24"/>
                <w:szCs w:val="24"/>
              </w:rPr>
              <w:t>3300000</w:t>
            </w:r>
          </w:p>
        </w:tc>
      </w:tr>
      <w:tr w:rsidR="004F0E45" w:rsidRPr="00901EBE" w:rsidTr="003B5BDE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4F0E45" w:rsidRPr="00901EBE" w:rsidRDefault="004F0E45" w:rsidP="00901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10" w:type="dxa"/>
          </w:tcPr>
          <w:p w:rsidR="004F0E45" w:rsidRDefault="00154F13" w:rsidP="00A80BA1">
            <w:pPr>
              <w:ind w:left="-101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4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Игла спинальная «</w:t>
            </w:r>
            <w:proofErr w:type="spellStart"/>
            <w:r w:rsidRPr="00154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Пенсил</w:t>
            </w:r>
            <w:proofErr w:type="spellEnd"/>
            <w:r w:rsidRPr="00154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27</w:t>
            </w:r>
            <w:r w:rsidRPr="00154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r w:rsidRPr="00154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длинна 90 мм, с иглой-интродьюсером 20 </w:t>
            </w:r>
            <w:r w:rsidRPr="00154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4F0E45" w:rsidRPr="00901EBE" w:rsidRDefault="004F0E45" w:rsidP="0090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4F0E45" w:rsidRPr="00901EBE" w:rsidRDefault="004F0E45" w:rsidP="0090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F0E45" w:rsidRPr="00901EBE" w:rsidRDefault="004F0E45" w:rsidP="0090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E45" w:rsidRPr="00901EBE" w:rsidRDefault="004F0E45" w:rsidP="0090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1980000</w:t>
            </w:r>
          </w:p>
        </w:tc>
      </w:tr>
    </w:tbl>
    <w:p w:rsidR="00F448F6" w:rsidRDefault="00F448F6" w:rsidP="007F3810">
      <w:pPr>
        <w:rPr>
          <w:rFonts w:ascii="Times New Roman" w:hAnsi="Times New Roman" w:cs="Times New Roman"/>
          <w:sz w:val="20"/>
          <w:szCs w:val="20"/>
        </w:rPr>
      </w:pPr>
    </w:p>
    <w:p w:rsidR="003B5BDE" w:rsidRPr="003B5BDE" w:rsidRDefault="003B5BDE" w:rsidP="003B5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DE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  <w:r w:rsidR="00154F13">
        <w:rPr>
          <w:rFonts w:ascii="Times New Roman" w:hAnsi="Times New Roman" w:cs="Times New Roman"/>
          <w:b/>
          <w:sz w:val="24"/>
          <w:szCs w:val="24"/>
        </w:rPr>
        <w:t xml:space="preserve"> Лот № 1</w:t>
      </w:r>
    </w:p>
    <w:p w:rsidR="003B5BDE" w:rsidRPr="003B5BDE" w:rsidRDefault="003B5BDE" w:rsidP="003B5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3402"/>
      </w:tblGrid>
      <w:tr w:rsidR="003B5BDE" w:rsidRPr="003B5BDE" w:rsidTr="000B6720">
        <w:trPr>
          <w:trHeight w:val="31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Тип прибора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Портативный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Количество каналов регистрации слуховых вызванных потенциалов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регистрации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отоакустической</w:t>
            </w:r>
            <w:proofErr w:type="spellEnd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 эмиссии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слуховых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коротколатентных</w:t>
            </w:r>
            <w:proofErr w:type="spellEnd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 вызванных потенциалов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задержанной вызванной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отоакустической</w:t>
            </w:r>
            <w:proofErr w:type="spellEnd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 эмиссии (ЗВОАЭ)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отоакустической</w:t>
            </w:r>
            <w:proofErr w:type="spellEnd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 эмиссии на частоте продукта искажения (ПИОАЭ)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Сохранение обследований в базе данных: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— ЗВОАЭ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от 320 до 1000 обследований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— ПИОАЭ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от 260 до 700 обследований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— СВП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от 1300 до 4000 обследований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Возможность обработки результатов пробы на компьютере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интерфейс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Возможность распечатки результатов пробы на принтере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интерфейс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Отображение информации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Цветной ЖК дисплей 3,5’, 648x480</w:t>
            </w:r>
          </w:p>
        </w:tc>
      </w:tr>
      <w:tr w:rsidR="003B5BDE" w:rsidRPr="003B5BDE" w:rsidTr="000B6720">
        <w:trPr>
          <w:trHeight w:val="315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Время автономной работы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Не менее 3 часов</w:t>
            </w:r>
          </w:p>
        </w:tc>
      </w:tr>
      <w:tr w:rsidR="003B5BDE" w:rsidRPr="003B5BDE" w:rsidTr="000B6720">
        <w:trPr>
          <w:trHeight w:val="315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Канал слуховых вызванных потенциалов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Амплитуда регистрируемых сигналов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0.15–900 мкВ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Ослабление синфазной помехи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не менее 100 дБ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Уровень внутренних шумов, приведенных ко входу (действующее значение)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не более 0.35 мкВ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Входное сопротивление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не менее 90 МОм</w:t>
            </w:r>
          </w:p>
        </w:tc>
      </w:tr>
      <w:tr w:rsidR="003B5BDE" w:rsidRPr="003B5BDE" w:rsidTr="00154F13">
        <w:trPr>
          <w:trHeight w:val="156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установки электродов (путем измерения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подэлектродного</w:t>
            </w:r>
            <w:proofErr w:type="spellEnd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 импеданса)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Частота дискретизации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160 кГц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Разрядность АЦП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Слуховой стимулятор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зонд ОАЭ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Уровень стимуляции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0–60 дБ HL</w:t>
            </w:r>
          </w:p>
        </w:tc>
      </w:tr>
      <w:tr w:rsidR="003B5BDE" w:rsidRPr="003B5BDE" w:rsidTr="00154F13">
        <w:trPr>
          <w:trHeight w:val="7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Форма стимуляции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широкополосный щелчок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Частота стимуляции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9–93 Гц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Сжатие/разрежение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Эпоха анализа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Автоматическое определение наличия ответа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Канал </w:t>
            </w:r>
            <w:proofErr w:type="spellStart"/>
            <w:r w:rsidRPr="003B5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отоакустической</w:t>
            </w:r>
            <w:proofErr w:type="spellEnd"/>
            <w:r w:rsidRPr="003B5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эмиссии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Уровень внутренних шумов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дБ SPL 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Уровень интермодуляционных искажений третьего порядка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- 80 дБ </w:t>
            </w:r>
          </w:p>
        </w:tc>
      </w:tr>
      <w:tr w:rsidR="003B5BDE" w:rsidRPr="003B5BDE" w:rsidTr="000B6720">
        <w:trPr>
          <w:trHeight w:val="315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Уровень стимуляции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60–80 дБ SPL</w:t>
            </w:r>
          </w:p>
        </w:tc>
      </w:tr>
      <w:tr w:rsidR="003B5BDE" w:rsidRPr="003B5BDE" w:rsidTr="000B6720">
        <w:trPr>
          <w:trHeight w:val="315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ПИОАЭ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5BDE" w:rsidRPr="003B5BDE" w:rsidTr="000B6720">
        <w:trPr>
          <w:trHeight w:val="315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Стимуляция: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— частотный диапазон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500–8000 Гц </w:t>
            </w:r>
          </w:p>
        </w:tc>
      </w:tr>
      <w:tr w:rsidR="003B5BDE" w:rsidRPr="003B5BDE" w:rsidTr="000B6720">
        <w:trPr>
          <w:trHeight w:val="315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— количество частот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От 4 до 12</w:t>
            </w:r>
          </w:p>
        </w:tc>
      </w:tr>
      <w:tr w:rsidR="003B5BDE" w:rsidRPr="003B5BDE" w:rsidTr="000B6720">
        <w:trPr>
          <w:trHeight w:val="315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ЗВОАЭ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Алгоритм нелинейного усреднения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3–1 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Частота стимуляции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49–66 Гц 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Эпоха анализа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3B5BDE" w:rsidRPr="003B5BDE" w:rsidTr="000B6720">
        <w:trPr>
          <w:trHeight w:val="315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Полосы частот для анализа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1, 2, 3, 4, 5 кГц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4 аккумулятора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-MH типа АА (R6)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Рабочие части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тип BF</w:t>
            </w:r>
          </w:p>
        </w:tc>
      </w:tr>
      <w:tr w:rsidR="003B5BDE" w:rsidRPr="003B5BDE" w:rsidTr="000B6720">
        <w:trPr>
          <w:trHeight w:val="525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Распечатка результатов обследования с помощью беспроводного принтера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15"/>
        </w:trPr>
        <w:tc>
          <w:tcPr>
            <w:tcW w:w="9087" w:type="dxa"/>
            <w:gridSpan w:val="2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Комплект поставки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Электронный блок прибора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электронного блока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Кабель для подключения электродов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B5BDE" w:rsidRPr="003B5BDE" w:rsidTr="000B6720">
        <w:trPr>
          <w:trHeight w:val="765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Кабель для подключения одноразовых электродов с коннектором «аллигатор»,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touch-proof</w:t>
            </w:r>
            <w:proofErr w:type="spellEnd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 (0,5 м) (красный, черный и зеленый)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Одноразовый поверхностный отводящий электрод (упаковка 100 шт.)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Зонд для регистрации ОАЭ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Съёмный наконечник зонда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ушных вкладышей «детский» (диаметром 3–8 мм)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Тестовая полость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Адаптер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Съемник наконечника зонда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Комплект аккумуляторов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эксплуатации, паспорт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обмена данными с персональным компьютером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Сумка для переноски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15"/>
        </w:trPr>
        <w:tc>
          <w:tcPr>
            <w:tcW w:w="9087" w:type="dxa"/>
            <w:gridSpan w:val="2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условия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Инструктаж/обучение специалиста на рабочем месте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0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Гарантия 12 месяцев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765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Копия регистрационного удостоверение Министерства здравоохранения Республики Казахстан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Копия Сертификата об утверждении типа средств измерений Республики Казахстан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154F13">
        <w:trPr>
          <w:trHeight w:val="153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Авторизированный сервис центр от завода изготовителя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154F13">
        <w:trPr>
          <w:trHeight w:val="303"/>
        </w:trPr>
        <w:tc>
          <w:tcPr>
            <w:tcW w:w="5685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Авторизационного</w:t>
            </w:r>
            <w:proofErr w:type="spellEnd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 письма от завода изготовителя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BDE" w:rsidRPr="003B5BDE" w:rsidTr="000B6720">
        <w:trPr>
          <w:trHeight w:val="315"/>
        </w:trPr>
        <w:tc>
          <w:tcPr>
            <w:tcW w:w="90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Дополнительный комплект поставки</w:t>
            </w:r>
          </w:p>
        </w:tc>
      </w:tr>
      <w:tr w:rsidR="003B5BDE" w:rsidRPr="003B5BDE" w:rsidTr="00154F13">
        <w:trPr>
          <w:trHeight w:val="401"/>
        </w:trPr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 xml:space="preserve">Внешний термопринтер с интерфейсом </w:t>
            </w:r>
            <w:proofErr w:type="spellStart"/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Наличие по дополнительному соглашению</w:t>
            </w:r>
          </w:p>
        </w:tc>
      </w:tr>
      <w:tr w:rsidR="003B5BDE" w:rsidRPr="003B5BDE" w:rsidTr="00154F13">
        <w:trPr>
          <w:trHeight w:val="267"/>
        </w:trPr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5BDE" w:rsidRPr="003B5BDE" w:rsidRDefault="003B5BDE" w:rsidP="003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E">
              <w:rPr>
                <w:rFonts w:ascii="Times New Roman" w:hAnsi="Times New Roman" w:cs="Times New Roman"/>
                <w:sz w:val="24"/>
                <w:szCs w:val="24"/>
              </w:rPr>
              <w:t>Наличие по дополнительному соглашению</w:t>
            </w:r>
          </w:p>
        </w:tc>
      </w:tr>
    </w:tbl>
    <w:p w:rsidR="003B5BDE" w:rsidRPr="003B5BDE" w:rsidRDefault="003B5BDE" w:rsidP="003B5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13" w:rsidRPr="00154F13" w:rsidRDefault="00154F13" w:rsidP="00154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F13">
        <w:rPr>
          <w:rFonts w:ascii="Times New Roman" w:hAnsi="Times New Roman" w:cs="Times New Roman"/>
          <w:sz w:val="24"/>
          <w:szCs w:val="24"/>
        </w:rPr>
        <w:t>ТЕХНИЧЕСКАЯ СПЕЦИФИКАЦИЯ</w:t>
      </w:r>
      <w:r>
        <w:rPr>
          <w:rFonts w:ascii="Times New Roman" w:hAnsi="Times New Roman" w:cs="Times New Roman"/>
          <w:sz w:val="24"/>
          <w:szCs w:val="24"/>
        </w:rPr>
        <w:t xml:space="preserve"> Лот №2</w:t>
      </w:r>
    </w:p>
    <w:p w:rsidR="00154F13" w:rsidRDefault="00154F13" w:rsidP="00154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F13">
        <w:rPr>
          <w:rFonts w:ascii="Times New Roman" w:hAnsi="Times New Roman" w:cs="Times New Roman"/>
          <w:sz w:val="24"/>
          <w:szCs w:val="24"/>
        </w:rPr>
        <w:t>Игла спинальная "</w:t>
      </w:r>
      <w:proofErr w:type="spellStart"/>
      <w:r w:rsidRPr="00154F13">
        <w:rPr>
          <w:rFonts w:ascii="Times New Roman" w:hAnsi="Times New Roman" w:cs="Times New Roman"/>
          <w:sz w:val="24"/>
          <w:szCs w:val="24"/>
        </w:rPr>
        <w:t>Пенсил</w:t>
      </w:r>
      <w:proofErr w:type="spellEnd"/>
      <w:r w:rsidRPr="00154F13">
        <w:rPr>
          <w:rFonts w:ascii="Times New Roman" w:hAnsi="Times New Roman" w:cs="Times New Roman"/>
          <w:sz w:val="24"/>
          <w:szCs w:val="24"/>
        </w:rPr>
        <w:t>" 27</w:t>
      </w:r>
      <w:proofErr w:type="gramStart"/>
      <w:r w:rsidRPr="00154F13">
        <w:rPr>
          <w:rFonts w:ascii="Times New Roman" w:hAnsi="Times New Roman" w:cs="Times New Roman"/>
          <w:sz w:val="24"/>
          <w:szCs w:val="24"/>
        </w:rPr>
        <w:t>G,  длина</w:t>
      </w:r>
      <w:bookmarkStart w:id="0" w:name="_GoBack"/>
      <w:bookmarkEnd w:id="0"/>
      <w:proofErr w:type="gramEnd"/>
      <w:r w:rsidRPr="00154F13">
        <w:rPr>
          <w:rFonts w:ascii="Times New Roman" w:hAnsi="Times New Roman" w:cs="Times New Roman"/>
          <w:sz w:val="24"/>
          <w:szCs w:val="24"/>
        </w:rPr>
        <w:t xml:space="preserve"> 90 мм, с иглой-интродьюсером 20G</w:t>
      </w:r>
    </w:p>
    <w:p w:rsidR="00154F13" w:rsidRPr="00154F13" w:rsidRDefault="00154F13" w:rsidP="00154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20F" w:rsidRPr="004A320F" w:rsidRDefault="00154F13" w:rsidP="0015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13">
        <w:rPr>
          <w:rFonts w:ascii="Times New Roman" w:hAnsi="Times New Roman" w:cs="Times New Roman"/>
          <w:sz w:val="24"/>
          <w:szCs w:val="24"/>
        </w:rPr>
        <w:t xml:space="preserve">Игла </w:t>
      </w:r>
      <w:proofErr w:type="gramStart"/>
      <w:r w:rsidRPr="00154F13">
        <w:rPr>
          <w:rFonts w:ascii="Times New Roman" w:hAnsi="Times New Roman" w:cs="Times New Roman"/>
          <w:sz w:val="24"/>
          <w:szCs w:val="24"/>
        </w:rPr>
        <w:t>спинальная  с</w:t>
      </w:r>
      <w:proofErr w:type="gramEnd"/>
      <w:r w:rsidRPr="00154F13">
        <w:rPr>
          <w:rFonts w:ascii="Times New Roman" w:hAnsi="Times New Roman" w:cs="Times New Roman"/>
          <w:sz w:val="24"/>
          <w:szCs w:val="24"/>
        </w:rPr>
        <w:t xml:space="preserve"> интродьюсером, размер  27G. C обтуратором. Тип заточки «карандаш» для обеспечения профилактики </w:t>
      </w:r>
      <w:proofErr w:type="spellStart"/>
      <w:r w:rsidRPr="00154F13">
        <w:rPr>
          <w:rFonts w:ascii="Times New Roman" w:hAnsi="Times New Roman" w:cs="Times New Roman"/>
          <w:sz w:val="24"/>
          <w:szCs w:val="24"/>
        </w:rPr>
        <w:t>постпункционных</w:t>
      </w:r>
      <w:proofErr w:type="spellEnd"/>
      <w:r w:rsidRPr="00154F13">
        <w:rPr>
          <w:rFonts w:ascii="Times New Roman" w:hAnsi="Times New Roman" w:cs="Times New Roman"/>
          <w:sz w:val="24"/>
          <w:szCs w:val="24"/>
        </w:rPr>
        <w:t xml:space="preserve"> головных болей. Угол заточки не более 30 градусов для обеспечения минимальных усилий во время пункции. Длина не менее 90 мм. Внутренний диаметр иглы не менее 0.28 мм с химической полировкой внутреннего канала, для обеспечения быстрого появления обратного тока ликвора во время пункции (скорость прохождения тестового раствора не менее 22 мм/с) и низкого сопротивления при введении местного анестетика. Расстояние от кончика иглы до начала бокового отверстия не менее 1.20 мм с целью обеспечения большей прочности острия иглы и предотвращения его деформации при случайном контакте с костью. Длина бокового отверстия (по внутренним краям) не более 0.60 мм для предотвращения одновременного введения анестетика как в субарахноидальное, так и в </w:t>
      </w:r>
      <w:proofErr w:type="spellStart"/>
      <w:r w:rsidRPr="00154F13">
        <w:rPr>
          <w:rFonts w:ascii="Times New Roman" w:hAnsi="Times New Roman" w:cs="Times New Roman"/>
          <w:sz w:val="24"/>
          <w:szCs w:val="24"/>
        </w:rPr>
        <w:t>эпидуральное</w:t>
      </w:r>
      <w:proofErr w:type="spellEnd"/>
      <w:r w:rsidRPr="00154F13">
        <w:rPr>
          <w:rFonts w:ascii="Times New Roman" w:hAnsi="Times New Roman" w:cs="Times New Roman"/>
          <w:sz w:val="24"/>
          <w:szCs w:val="24"/>
        </w:rPr>
        <w:t xml:space="preserve"> пространства и развития частичного блока. Толщина иглы под краем бокового отверстия не менее 0.30 мм для сохранения жесткости иглы, предотвращения случайного захвата и переноса тканей в субарахноидальное пространство, предотвращения разрыва волокон твердой мозговой оболочки краями отверстия. Игла-</w:t>
      </w:r>
      <w:proofErr w:type="spellStart"/>
      <w:r w:rsidRPr="00154F13">
        <w:rPr>
          <w:rFonts w:ascii="Times New Roman" w:hAnsi="Times New Roman" w:cs="Times New Roman"/>
          <w:sz w:val="24"/>
          <w:szCs w:val="24"/>
        </w:rPr>
        <w:t>интродьюсер</w:t>
      </w:r>
      <w:proofErr w:type="spellEnd"/>
      <w:r w:rsidRPr="00154F13">
        <w:rPr>
          <w:rFonts w:ascii="Times New Roman" w:hAnsi="Times New Roman" w:cs="Times New Roman"/>
          <w:sz w:val="24"/>
          <w:szCs w:val="24"/>
        </w:rPr>
        <w:t xml:space="preserve"> 20G, наружный диаметр 0,9 мм, длина рабочей части 38 </w:t>
      </w:r>
      <w:proofErr w:type="spellStart"/>
      <w:r w:rsidRPr="00154F13">
        <w:rPr>
          <w:rFonts w:ascii="Times New Roman" w:hAnsi="Times New Roman" w:cs="Times New Roman"/>
          <w:sz w:val="24"/>
          <w:szCs w:val="24"/>
        </w:rPr>
        <w:t>мм.Защитные</w:t>
      </w:r>
      <w:proofErr w:type="spellEnd"/>
      <w:r w:rsidRPr="00154F13">
        <w:rPr>
          <w:rFonts w:ascii="Times New Roman" w:hAnsi="Times New Roman" w:cs="Times New Roman"/>
          <w:sz w:val="24"/>
          <w:szCs w:val="24"/>
        </w:rPr>
        <w:t xml:space="preserve"> пластиковые трубки, покрывающие металлические части иглы и интродьюсера, для безопасной утилизации. Стерильная упаковка, стерилизация </w:t>
      </w:r>
      <w:proofErr w:type="spellStart"/>
      <w:r w:rsidRPr="00154F13">
        <w:rPr>
          <w:rFonts w:ascii="Times New Roman" w:hAnsi="Times New Roman" w:cs="Times New Roman"/>
          <w:sz w:val="24"/>
          <w:szCs w:val="24"/>
        </w:rPr>
        <w:t>этиленоксидом</w:t>
      </w:r>
      <w:proofErr w:type="spellEnd"/>
      <w:r w:rsidRPr="00154F13">
        <w:rPr>
          <w:rFonts w:ascii="Times New Roman" w:hAnsi="Times New Roman" w:cs="Times New Roman"/>
          <w:sz w:val="24"/>
          <w:szCs w:val="24"/>
        </w:rPr>
        <w:t>.</w:t>
      </w:r>
    </w:p>
    <w:sectPr w:rsidR="004A320F" w:rsidRPr="004A320F" w:rsidSect="00864ED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5E14"/>
    <w:multiLevelType w:val="hybridMultilevel"/>
    <w:tmpl w:val="BD52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1236A"/>
    <w:rsid w:val="00012D7D"/>
    <w:rsid w:val="00014CF4"/>
    <w:rsid w:val="000C6249"/>
    <w:rsid w:val="000E2502"/>
    <w:rsid w:val="00103EC2"/>
    <w:rsid w:val="00105060"/>
    <w:rsid w:val="001134A8"/>
    <w:rsid w:val="001374D7"/>
    <w:rsid w:val="00154F13"/>
    <w:rsid w:val="00202258"/>
    <w:rsid w:val="00206486"/>
    <w:rsid w:val="002065CF"/>
    <w:rsid w:val="00250D84"/>
    <w:rsid w:val="002E52C5"/>
    <w:rsid w:val="00383CFB"/>
    <w:rsid w:val="003B3A7F"/>
    <w:rsid w:val="003B5BDE"/>
    <w:rsid w:val="004A320F"/>
    <w:rsid w:val="004C6C23"/>
    <w:rsid w:val="004F0E45"/>
    <w:rsid w:val="00504EA9"/>
    <w:rsid w:val="00533FF4"/>
    <w:rsid w:val="005861FB"/>
    <w:rsid w:val="005D6F21"/>
    <w:rsid w:val="00685EE4"/>
    <w:rsid w:val="006C1750"/>
    <w:rsid w:val="006C4C01"/>
    <w:rsid w:val="007133E6"/>
    <w:rsid w:val="007B42F4"/>
    <w:rsid w:val="007F3810"/>
    <w:rsid w:val="008244AE"/>
    <w:rsid w:val="00864ED5"/>
    <w:rsid w:val="008A4906"/>
    <w:rsid w:val="008E300A"/>
    <w:rsid w:val="00901EBE"/>
    <w:rsid w:val="00905FB9"/>
    <w:rsid w:val="009772E0"/>
    <w:rsid w:val="009B103E"/>
    <w:rsid w:val="009C33B1"/>
    <w:rsid w:val="009D6348"/>
    <w:rsid w:val="009F4D49"/>
    <w:rsid w:val="00A21185"/>
    <w:rsid w:val="00A3398F"/>
    <w:rsid w:val="00A36ED4"/>
    <w:rsid w:val="00A50519"/>
    <w:rsid w:val="00A50B41"/>
    <w:rsid w:val="00A631DF"/>
    <w:rsid w:val="00A65BD2"/>
    <w:rsid w:val="00A80BA1"/>
    <w:rsid w:val="00AB1369"/>
    <w:rsid w:val="00AD2209"/>
    <w:rsid w:val="00AF3D23"/>
    <w:rsid w:val="00B44CDC"/>
    <w:rsid w:val="00B612AA"/>
    <w:rsid w:val="00B84E69"/>
    <w:rsid w:val="00B941CF"/>
    <w:rsid w:val="00C0501E"/>
    <w:rsid w:val="00C562C1"/>
    <w:rsid w:val="00C572A5"/>
    <w:rsid w:val="00C80DB0"/>
    <w:rsid w:val="00CC5E33"/>
    <w:rsid w:val="00D27A19"/>
    <w:rsid w:val="00D27D20"/>
    <w:rsid w:val="00D55561"/>
    <w:rsid w:val="00D64151"/>
    <w:rsid w:val="00D84A72"/>
    <w:rsid w:val="00DC434E"/>
    <w:rsid w:val="00E7757D"/>
    <w:rsid w:val="00E93E87"/>
    <w:rsid w:val="00E97565"/>
    <w:rsid w:val="00EA109F"/>
    <w:rsid w:val="00ED3CF5"/>
    <w:rsid w:val="00EF3DDB"/>
    <w:rsid w:val="00F069A1"/>
    <w:rsid w:val="00F12840"/>
    <w:rsid w:val="00F448F6"/>
    <w:rsid w:val="00F9679C"/>
    <w:rsid w:val="00FE47ED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B7E7-AD1E-4016-A244-E36639DC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52</cp:revision>
  <cp:lastPrinted>2018-12-04T10:30:00Z</cp:lastPrinted>
  <dcterms:created xsi:type="dcterms:W3CDTF">2017-01-24T08:17:00Z</dcterms:created>
  <dcterms:modified xsi:type="dcterms:W3CDTF">2018-12-11T10:23:00Z</dcterms:modified>
</cp:coreProperties>
</file>